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0F" w:rsidRPr="00DE6CAD" w:rsidRDefault="00C93B0F" w:rsidP="00C93B0F">
      <w:pPr>
        <w:jc w:val="center"/>
        <w:rPr>
          <w:rFonts w:eastAsia="標楷體" w:cstheme="minorHAnsi"/>
          <w:b/>
        </w:rPr>
      </w:pPr>
      <w:r w:rsidRPr="00DE6CAD">
        <w:rPr>
          <w:rFonts w:eastAsia="標楷體" w:cstheme="minorHAnsi"/>
          <w:b/>
          <w:lang w:eastAsia="zh-HK"/>
        </w:rPr>
        <w:t>偉聯科技股份有限公司</w:t>
      </w:r>
    </w:p>
    <w:p w:rsidR="00C93B0F" w:rsidRPr="00DE6CAD" w:rsidRDefault="00C93B0F" w:rsidP="00C93B0F">
      <w:pPr>
        <w:jc w:val="center"/>
        <w:rPr>
          <w:rFonts w:eastAsia="標楷體" w:cstheme="minorHAnsi"/>
          <w:b/>
        </w:rPr>
      </w:pPr>
      <w:r w:rsidRPr="00DE6CAD">
        <w:rPr>
          <w:rFonts w:eastAsia="標楷體" w:cstheme="minorHAnsi"/>
          <w:b/>
        </w:rPr>
        <w:t>風險管理政策</w:t>
      </w:r>
    </w:p>
    <w:p w:rsidR="00C93B0F" w:rsidRPr="00DE6CAD" w:rsidRDefault="00C93B0F" w:rsidP="00777BF9">
      <w:pPr>
        <w:ind w:rightChars="-277" w:right="-665"/>
        <w:jc w:val="right"/>
        <w:rPr>
          <w:rFonts w:eastAsia="標楷體" w:cstheme="minorHAnsi"/>
          <w:sz w:val="20"/>
          <w:szCs w:val="20"/>
        </w:rPr>
      </w:pPr>
      <w:r w:rsidRPr="00DE6CAD">
        <w:rPr>
          <w:rFonts w:eastAsia="標楷體" w:cstheme="minorHAnsi"/>
          <w:sz w:val="20"/>
          <w:szCs w:val="20"/>
        </w:rPr>
        <w:t>109.11.4</w:t>
      </w:r>
      <w:r w:rsidR="00D03224" w:rsidRPr="00DE6CAD">
        <w:rPr>
          <w:rFonts w:eastAsia="標楷體" w:cstheme="minorHAnsi"/>
          <w:sz w:val="20"/>
          <w:szCs w:val="20"/>
          <w:lang w:eastAsia="zh-HK"/>
        </w:rPr>
        <w:t>訂定</w:t>
      </w:r>
      <w:bookmarkStart w:id="0" w:name="_GoBack"/>
      <w:bookmarkEnd w:id="0"/>
    </w:p>
    <w:p w:rsidR="00C93B0F" w:rsidRPr="00DE6CAD" w:rsidRDefault="00C93B0F" w:rsidP="000C760E">
      <w:pPr>
        <w:rPr>
          <w:rFonts w:eastAsia="標楷體" w:cstheme="minorHAnsi"/>
          <w:b/>
        </w:rPr>
      </w:pPr>
      <w:r w:rsidRPr="00DE6CAD">
        <w:rPr>
          <w:rFonts w:eastAsia="標楷體" w:cstheme="minorHAnsi"/>
          <w:b/>
        </w:rPr>
        <w:t>第一條</w:t>
      </w:r>
      <w:r w:rsidR="0008765C" w:rsidRPr="00DE6CAD">
        <w:rPr>
          <w:rFonts w:eastAsia="標楷體" w:cstheme="minorHAnsi"/>
          <w:b/>
        </w:rPr>
        <w:t xml:space="preserve"> </w:t>
      </w:r>
      <w:r w:rsidRPr="00DE6CAD">
        <w:rPr>
          <w:rFonts w:eastAsia="標楷體" w:cstheme="minorHAnsi"/>
          <w:b/>
        </w:rPr>
        <w:t>目的</w:t>
      </w:r>
    </w:p>
    <w:p w:rsidR="00C93B0F" w:rsidRPr="00DE6CAD" w:rsidRDefault="007055B3" w:rsidP="00CD2BD0">
      <w:pPr>
        <w:spacing w:line="300" w:lineRule="exact"/>
        <w:ind w:rightChars="-260" w:right="-624"/>
        <w:rPr>
          <w:rFonts w:eastAsia="標楷體" w:cstheme="minorHAnsi"/>
        </w:rPr>
      </w:pPr>
      <w:r w:rsidRPr="00DE6CAD">
        <w:rPr>
          <w:rFonts w:eastAsia="標楷體" w:cstheme="minorHAnsi"/>
        </w:rPr>
        <w:t>透過對潛在風險之辨識、評估、控制、監督及溝通等活動，將公司營運所面臨之各種風險降低至可承受及控制的範圍，並作為經營策略制定之參考依據，</w:t>
      </w:r>
      <w:r w:rsidR="00C93B0F" w:rsidRPr="00DE6CAD">
        <w:rPr>
          <w:rFonts w:eastAsia="標楷體" w:cstheme="minorHAnsi"/>
        </w:rPr>
        <w:t>以</w:t>
      </w:r>
      <w:r w:rsidRPr="00DE6CAD">
        <w:rPr>
          <w:rFonts w:eastAsia="標楷體" w:cstheme="minorHAnsi"/>
        </w:rPr>
        <w:t>期能</w:t>
      </w:r>
      <w:r w:rsidR="00C93B0F" w:rsidRPr="00DE6CAD">
        <w:rPr>
          <w:rFonts w:eastAsia="標楷體" w:cstheme="minorHAnsi"/>
        </w:rPr>
        <w:t>合理確保公司</w:t>
      </w:r>
      <w:r w:rsidRPr="00DE6CAD">
        <w:rPr>
          <w:rFonts w:eastAsia="標楷體" w:cstheme="minorHAnsi"/>
        </w:rPr>
        <w:t>策略</w:t>
      </w:r>
      <w:r w:rsidR="00C93B0F" w:rsidRPr="00DE6CAD">
        <w:rPr>
          <w:rFonts w:eastAsia="標楷體" w:cstheme="minorHAnsi"/>
        </w:rPr>
        <w:t>目標之達成，特制訂本政策。</w:t>
      </w:r>
    </w:p>
    <w:p w:rsidR="00C93B0F" w:rsidRPr="00DE6CAD" w:rsidRDefault="00C93B0F" w:rsidP="000C760E">
      <w:pPr>
        <w:spacing w:beforeLines="50" w:before="180"/>
        <w:rPr>
          <w:rFonts w:eastAsia="標楷體" w:cstheme="minorHAnsi"/>
          <w:b/>
        </w:rPr>
      </w:pPr>
      <w:r w:rsidRPr="00DE6CAD">
        <w:rPr>
          <w:rFonts w:eastAsia="標楷體" w:cstheme="minorHAnsi"/>
          <w:b/>
        </w:rPr>
        <w:t>第二條</w:t>
      </w:r>
      <w:r w:rsidRPr="00DE6CAD">
        <w:rPr>
          <w:rFonts w:eastAsia="標楷體" w:cstheme="minorHAnsi"/>
          <w:b/>
        </w:rPr>
        <w:t xml:space="preserve"> </w:t>
      </w:r>
      <w:r w:rsidRPr="00DE6CAD">
        <w:rPr>
          <w:rFonts w:eastAsia="標楷體" w:cstheme="minorHAnsi"/>
          <w:b/>
        </w:rPr>
        <w:t>適用範圍</w:t>
      </w:r>
    </w:p>
    <w:p w:rsidR="00C93B0F" w:rsidRPr="00DE6CAD" w:rsidRDefault="00C93B0F" w:rsidP="00C93B0F">
      <w:pPr>
        <w:rPr>
          <w:rFonts w:eastAsia="標楷體" w:cstheme="minorHAnsi"/>
        </w:rPr>
      </w:pPr>
      <w:r w:rsidRPr="00DE6CAD">
        <w:rPr>
          <w:rFonts w:eastAsia="標楷體" w:cstheme="minorHAnsi"/>
        </w:rPr>
        <w:t>本政策適用於本</w:t>
      </w:r>
      <w:r w:rsidR="001E5D95" w:rsidRPr="00DE6CAD">
        <w:rPr>
          <w:rFonts w:eastAsia="標楷體" w:cstheme="minorHAnsi"/>
          <w:lang w:eastAsia="zh-HK"/>
        </w:rPr>
        <w:t>集團</w:t>
      </w:r>
      <w:r w:rsidRPr="00DE6CAD">
        <w:rPr>
          <w:rFonts w:eastAsia="標楷體" w:cstheme="minorHAnsi"/>
        </w:rPr>
        <w:t>公司各層級之風險管理作業。</w:t>
      </w:r>
    </w:p>
    <w:p w:rsidR="007055B3" w:rsidRPr="00DE6CAD" w:rsidRDefault="007055B3" w:rsidP="007055B3">
      <w:pPr>
        <w:spacing w:beforeLines="50" w:before="180"/>
        <w:rPr>
          <w:rFonts w:eastAsia="標楷體" w:cstheme="minorHAnsi"/>
          <w:b/>
        </w:rPr>
      </w:pPr>
      <w:r w:rsidRPr="00DE6CAD">
        <w:rPr>
          <w:rFonts w:eastAsia="標楷體" w:cstheme="minorHAnsi"/>
          <w:b/>
        </w:rPr>
        <w:t>第三條</w:t>
      </w:r>
      <w:r w:rsidRPr="00DE6CAD">
        <w:rPr>
          <w:rFonts w:eastAsia="標楷體" w:cstheme="minorHAnsi"/>
          <w:b/>
        </w:rPr>
        <w:t xml:space="preserve"> </w:t>
      </w:r>
      <w:r w:rsidRPr="00DE6CAD">
        <w:rPr>
          <w:rFonts w:eastAsia="標楷體" w:cstheme="minorHAnsi"/>
          <w:b/>
        </w:rPr>
        <w:t>風險管理組織架構</w:t>
      </w:r>
      <w:r w:rsidR="006F7536" w:rsidRPr="00DE6CAD">
        <w:rPr>
          <w:rFonts w:eastAsia="標楷體" w:cstheme="minorHAnsi"/>
          <w:b/>
        </w:rPr>
        <w:t>及</w:t>
      </w:r>
      <w:r w:rsidR="000310D0" w:rsidRPr="00DE6CAD">
        <w:rPr>
          <w:rFonts w:eastAsia="標楷體" w:cstheme="minorHAnsi"/>
          <w:b/>
        </w:rPr>
        <w:t>職</w:t>
      </w:r>
      <w:r w:rsidR="006F7536" w:rsidRPr="00DE6CAD">
        <w:rPr>
          <w:rFonts w:eastAsia="標楷體" w:cstheme="minorHAnsi"/>
          <w:b/>
        </w:rPr>
        <w:t>責</w:t>
      </w:r>
    </w:p>
    <w:tbl>
      <w:tblPr>
        <w:tblStyle w:val="a7"/>
        <w:tblW w:w="8505" w:type="dxa"/>
        <w:tblInd w:w="250" w:type="dxa"/>
        <w:tblLook w:val="04A0" w:firstRow="1" w:lastRow="0" w:firstColumn="1" w:lastColumn="0" w:noHBand="0" w:noVBand="1"/>
      </w:tblPr>
      <w:tblGrid>
        <w:gridCol w:w="3260"/>
        <w:gridCol w:w="5245"/>
      </w:tblGrid>
      <w:tr w:rsidR="007055B3" w:rsidRPr="00DE6CAD" w:rsidTr="000C760E">
        <w:trPr>
          <w:trHeight w:val="249"/>
        </w:trPr>
        <w:tc>
          <w:tcPr>
            <w:tcW w:w="3260" w:type="dxa"/>
          </w:tcPr>
          <w:p w:rsidR="007055B3" w:rsidRPr="00DE6CAD" w:rsidRDefault="007055B3" w:rsidP="009B5EE7">
            <w:pPr>
              <w:spacing w:line="300" w:lineRule="exact"/>
              <w:jc w:val="center"/>
              <w:rPr>
                <w:rFonts w:eastAsia="標楷體" w:cstheme="minorHAnsi"/>
              </w:rPr>
            </w:pPr>
            <w:r w:rsidRPr="00DE6CAD">
              <w:rPr>
                <w:rFonts w:eastAsia="標楷體" w:cstheme="minorHAnsi"/>
              </w:rPr>
              <w:t>階層</w:t>
            </w:r>
          </w:p>
        </w:tc>
        <w:tc>
          <w:tcPr>
            <w:tcW w:w="5245" w:type="dxa"/>
          </w:tcPr>
          <w:p w:rsidR="007055B3" w:rsidRPr="00DE6CAD" w:rsidRDefault="00DE6CAD" w:rsidP="009B5EE7">
            <w:pPr>
              <w:spacing w:line="300" w:lineRule="exact"/>
              <w:jc w:val="center"/>
              <w:rPr>
                <w:rFonts w:eastAsia="標楷體" w:cstheme="minorHAnsi"/>
              </w:rPr>
            </w:pPr>
            <w:r w:rsidRPr="00DE6CAD">
              <w:rPr>
                <w:rFonts w:eastAsia="標楷體" w:cstheme="minorHAnsi"/>
                <w:lang w:eastAsia="zh-HK"/>
              </w:rPr>
              <w:t>職</w:t>
            </w:r>
            <w:r w:rsidR="007055B3" w:rsidRPr="00DE6CAD">
              <w:rPr>
                <w:rFonts w:eastAsia="標楷體" w:cstheme="minorHAnsi"/>
              </w:rPr>
              <w:t>責範圍</w:t>
            </w:r>
          </w:p>
        </w:tc>
      </w:tr>
      <w:tr w:rsidR="007055B3" w:rsidRPr="00DE6CAD" w:rsidTr="000C760E">
        <w:trPr>
          <w:trHeight w:val="267"/>
        </w:trPr>
        <w:tc>
          <w:tcPr>
            <w:tcW w:w="3260" w:type="dxa"/>
            <w:vMerge w:val="restart"/>
          </w:tcPr>
          <w:p w:rsidR="007055B3" w:rsidRPr="00DE6CAD" w:rsidRDefault="007055B3" w:rsidP="000C760E">
            <w:pPr>
              <w:spacing w:line="300" w:lineRule="exact"/>
              <w:rPr>
                <w:rFonts w:eastAsia="標楷體" w:cstheme="minorHAnsi"/>
              </w:rPr>
            </w:pPr>
            <w:r w:rsidRPr="00DE6CAD">
              <w:rPr>
                <w:rFonts w:eastAsia="標楷體" w:cstheme="minorHAnsi"/>
              </w:rPr>
              <w:t>高階管理階層</w:t>
            </w:r>
          </w:p>
          <w:p w:rsidR="007055B3" w:rsidRPr="00DE6CAD" w:rsidRDefault="007055B3" w:rsidP="000C760E">
            <w:pPr>
              <w:spacing w:line="300" w:lineRule="exact"/>
              <w:ind w:firstLineChars="14" w:firstLine="34"/>
              <w:rPr>
                <w:rFonts w:eastAsia="標楷體" w:cstheme="minorHAnsi"/>
              </w:rPr>
            </w:pPr>
            <w:r w:rsidRPr="00DE6CAD">
              <w:rPr>
                <w:rFonts w:eastAsia="標楷體" w:cstheme="minorHAnsi"/>
              </w:rPr>
              <w:t>(</w:t>
            </w:r>
            <w:r w:rsidRPr="00DE6CAD">
              <w:rPr>
                <w:rFonts w:eastAsia="標楷體" w:cstheme="minorHAnsi"/>
              </w:rPr>
              <w:t>總經理、營運長、副總經理</w:t>
            </w:r>
            <w:r w:rsidRPr="00DE6CAD">
              <w:rPr>
                <w:rFonts w:eastAsia="標楷體" w:cstheme="minorHAnsi"/>
              </w:rPr>
              <w:t>)</w:t>
            </w: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1.</w:t>
            </w:r>
            <w:r w:rsidRPr="00DE6CAD">
              <w:rPr>
                <w:rFonts w:eastAsia="標楷體" w:cstheme="minorHAnsi"/>
              </w:rPr>
              <w:t>執行風險管理決策</w:t>
            </w:r>
          </w:p>
        </w:tc>
      </w:tr>
      <w:tr w:rsidR="007055B3" w:rsidRPr="00DE6CAD" w:rsidTr="000C760E">
        <w:trPr>
          <w:trHeight w:val="271"/>
        </w:trPr>
        <w:tc>
          <w:tcPr>
            <w:tcW w:w="3260" w:type="dxa"/>
            <w:vMerge/>
          </w:tcPr>
          <w:p w:rsidR="007055B3" w:rsidRPr="00DE6CAD" w:rsidRDefault="007055B3" w:rsidP="000C760E">
            <w:pPr>
              <w:spacing w:line="300" w:lineRule="exact"/>
              <w:rPr>
                <w:rFonts w:eastAsia="標楷體" w:cstheme="minorHAnsi"/>
              </w:rPr>
            </w:pP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2.</w:t>
            </w:r>
            <w:r w:rsidRPr="00DE6CAD">
              <w:rPr>
                <w:rFonts w:eastAsia="標楷體" w:cstheme="minorHAnsi"/>
              </w:rPr>
              <w:t>協調跨部門之風險管理互動與溝通</w:t>
            </w:r>
          </w:p>
        </w:tc>
      </w:tr>
      <w:tr w:rsidR="007055B3" w:rsidRPr="00DE6CAD" w:rsidTr="000C760E">
        <w:trPr>
          <w:trHeight w:val="287"/>
        </w:trPr>
        <w:tc>
          <w:tcPr>
            <w:tcW w:w="3260" w:type="dxa"/>
            <w:vMerge w:val="restart"/>
          </w:tcPr>
          <w:p w:rsidR="007055B3" w:rsidRPr="00DE6CAD" w:rsidRDefault="007055B3" w:rsidP="000C760E">
            <w:pPr>
              <w:spacing w:line="300" w:lineRule="exact"/>
              <w:rPr>
                <w:rFonts w:eastAsia="標楷體" w:cstheme="minorHAnsi"/>
              </w:rPr>
            </w:pPr>
            <w:r w:rsidRPr="00DE6CAD">
              <w:rPr>
                <w:rFonts w:eastAsia="標楷體" w:cstheme="minorHAnsi"/>
              </w:rPr>
              <w:t>各級主管</w:t>
            </w: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1.</w:t>
            </w:r>
            <w:r w:rsidRPr="00DE6CAD">
              <w:rPr>
                <w:rFonts w:eastAsia="標楷體" w:cstheme="minorHAnsi"/>
              </w:rPr>
              <w:t>彙整風險管理活動執行結果</w:t>
            </w:r>
          </w:p>
        </w:tc>
      </w:tr>
      <w:tr w:rsidR="007055B3" w:rsidRPr="00DE6CAD" w:rsidTr="000C760E">
        <w:tc>
          <w:tcPr>
            <w:tcW w:w="3260" w:type="dxa"/>
            <w:vMerge/>
          </w:tcPr>
          <w:p w:rsidR="007055B3" w:rsidRPr="00DE6CAD" w:rsidRDefault="007055B3" w:rsidP="000C760E">
            <w:pPr>
              <w:spacing w:line="300" w:lineRule="exact"/>
              <w:rPr>
                <w:rFonts w:eastAsia="標楷體" w:cstheme="minorHAnsi"/>
              </w:rPr>
            </w:pP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2.</w:t>
            </w:r>
            <w:r w:rsidRPr="00DE6CAD">
              <w:rPr>
                <w:rFonts w:eastAsia="標楷體" w:cstheme="minorHAnsi"/>
              </w:rPr>
              <w:t>協助與監督部門內各項進行風險管理活動</w:t>
            </w:r>
          </w:p>
        </w:tc>
      </w:tr>
      <w:tr w:rsidR="007055B3" w:rsidRPr="00DE6CAD" w:rsidTr="000C760E">
        <w:tc>
          <w:tcPr>
            <w:tcW w:w="3260" w:type="dxa"/>
            <w:vMerge/>
          </w:tcPr>
          <w:p w:rsidR="007055B3" w:rsidRPr="00DE6CAD" w:rsidRDefault="007055B3" w:rsidP="000C760E">
            <w:pPr>
              <w:spacing w:line="300" w:lineRule="exact"/>
              <w:rPr>
                <w:rFonts w:eastAsia="標楷體" w:cstheme="minorHAnsi"/>
              </w:rPr>
            </w:pPr>
          </w:p>
        </w:tc>
        <w:tc>
          <w:tcPr>
            <w:tcW w:w="5245" w:type="dxa"/>
          </w:tcPr>
          <w:p w:rsidR="007055B3" w:rsidRPr="00DE6CAD" w:rsidRDefault="007055B3" w:rsidP="000C760E">
            <w:pPr>
              <w:spacing w:line="300" w:lineRule="exact"/>
              <w:ind w:leftChars="-12" w:left="221" w:hangingChars="104" w:hanging="250"/>
              <w:rPr>
                <w:rFonts w:eastAsia="標楷體" w:cstheme="minorHAnsi"/>
              </w:rPr>
            </w:pPr>
            <w:r w:rsidRPr="00DE6CAD">
              <w:rPr>
                <w:rFonts w:eastAsia="標楷體" w:cstheme="minorHAnsi"/>
              </w:rPr>
              <w:t>3.</w:t>
            </w:r>
            <w:r w:rsidRPr="00DE6CAD">
              <w:rPr>
                <w:rFonts w:eastAsia="標楷體" w:cstheme="minorHAnsi"/>
              </w:rPr>
              <w:t>視外部環境及內部策略改變決定風險類別並建議承擔方式</w:t>
            </w:r>
          </w:p>
        </w:tc>
      </w:tr>
      <w:tr w:rsidR="007055B3" w:rsidRPr="00DE6CAD" w:rsidTr="000C760E">
        <w:tc>
          <w:tcPr>
            <w:tcW w:w="3260" w:type="dxa"/>
            <w:vMerge/>
          </w:tcPr>
          <w:p w:rsidR="007055B3" w:rsidRPr="00DE6CAD" w:rsidRDefault="007055B3" w:rsidP="000C760E">
            <w:pPr>
              <w:spacing w:line="300" w:lineRule="exact"/>
              <w:rPr>
                <w:rFonts w:eastAsia="標楷體" w:cstheme="minorHAnsi"/>
              </w:rPr>
            </w:pP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4.</w:t>
            </w:r>
            <w:r w:rsidRPr="00DE6CAD">
              <w:rPr>
                <w:rFonts w:eastAsia="標楷體" w:cstheme="minorHAnsi"/>
              </w:rPr>
              <w:t>進行風險調整後之績效衡量與協調</w:t>
            </w:r>
          </w:p>
        </w:tc>
      </w:tr>
      <w:tr w:rsidR="007055B3" w:rsidRPr="00DE6CAD" w:rsidTr="000C760E">
        <w:tc>
          <w:tcPr>
            <w:tcW w:w="3260" w:type="dxa"/>
            <w:vMerge w:val="restart"/>
          </w:tcPr>
          <w:p w:rsidR="007055B3" w:rsidRPr="00DE6CAD" w:rsidRDefault="007055B3" w:rsidP="000C760E">
            <w:pPr>
              <w:spacing w:line="300" w:lineRule="exact"/>
              <w:rPr>
                <w:rFonts w:eastAsia="標楷體" w:cstheme="minorHAnsi"/>
              </w:rPr>
            </w:pPr>
            <w:r w:rsidRPr="00DE6CAD">
              <w:rPr>
                <w:rFonts w:eastAsia="標楷體" w:cstheme="minorHAnsi"/>
              </w:rPr>
              <w:t>部門及各單位主管</w:t>
            </w: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1.</w:t>
            </w:r>
            <w:r w:rsidRPr="00DE6CAD">
              <w:rPr>
                <w:rFonts w:eastAsia="標楷體" w:cstheme="minorHAnsi"/>
              </w:rPr>
              <w:t>執行日常風險管理活動</w:t>
            </w:r>
          </w:p>
        </w:tc>
      </w:tr>
      <w:tr w:rsidR="007055B3" w:rsidRPr="00DE6CAD" w:rsidTr="000C760E">
        <w:tc>
          <w:tcPr>
            <w:tcW w:w="3260" w:type="dxa"/>
            <w:vMerge/>
          </w:tcPr>
          <w:p w:rsidR="007055B3" w:rsidRPr="00DE6CAD" w:rsidRDefault="007055B3" w:rsidP="000C760E">
            <w:pPr>
              <w:spacing w:line="300" w:lineRule="exact"/>
              <w:rPr>
                <w:rFonts w:eastAsia="標楷體" w:cstheme="minorHAnsi"/>
              </w:rPr>
            </w:pPr>
          </w:p>
        </w:tc>
        <w:tc>
          <w:tcPr>
            <w:tcW w:w="5245" w:type="dxa"/>
          </w:tcPr>
          <w:p w:rsidR="007055B3" w:rsidRPr="00DE6CAD" w:rsidRDefault="007055B3" w:rsidP="000C760E">
            <w:pPr>
              <w:spacing w:line="300" w:lineRule="exact"/>
              <w:rPr>
                <w:rFonts w:eastAsia="標楷體" w:cstheme="minorHAnsi"/>
              </w:rPr>
            </w:pPr>
            <w:r w:rsidRPr="00DE6CAD">
              <w:rPr>
                <w:rFonts w:eastAsia="標楷體" w:cstheme="minorHAnsi"/>
              </w:rPr>
              <w:t>2.</w:t>
            </w:r>
            <w:r w:rsidRPr="00DE6CAD">
              <w:rPr>
                <w:rFonts w:eastAsia="標楷體" w:cstheme="minorHAnsi"/>
              </w:rPr>
              <w:t>進行風險控管活動之自我評估</w:t>
            </w:r>
            <w:r w:rsidR="000310D0" w:rsidRPr="00DE6CAD">
              <w:rPr>
                <w:rFonts w:eastAsia="標楷體" w:cstheme="minorHAnsi"/>
              </w:rPr>
              <w:t>(</w:t>
            </w:r>
            <w:r w:rsidR="000310D0" w:rsidRPr="00DE6CAD">
              <w:rPr>
                <w:rFonts w:eastAsia="標楷體" w:cstheme="minorHAnsi"/>
              </w:rPr>
              <w:t>辨識及分析</w:t>
            </w:r>
            <w:r w:rsidR="000310D0" w:rsidRPr="00DE6CAD">
              <w:rPr>
                <w:rFonts w:eastAsia="標楷體" w:cstheme="minorHAnsi"/>
              </w:rPr>
              <w:t>)</w:t>
            </w:r>
          </w:p>
        </w:tc>
      </w:tr>
      <w:tr w:rsidR="007055B3" w:rsidRPr="00DE6CAD" w:rsidTr="000C760E">
        <w:trPr>
          <w:trHeight w:val="744"/>
        </w:trPr>
        <w:tc>
          <w:tcPr>
            <w:tcW w:w="3260" w:type="dxa"/>
          </w:tcPr>
          <w:p w:rsidR="007055B3" w:rsidRPr="00DE6CAD" w:rsidRDefault="007055B3" w:rsidP="000C760E">
            <w:pPr>
              <w:spacing w:line="300" w:lineRule="exact"/>
              <w:rPr>
                <w:rFonts w:eastAsia="標楷體" w:cstheme="minorHAnsi"/>
              </w:rPr>
            </w:pPr>
            <w:r w:rsidRPr="00DE6CAD">
              <w:rPr>
                <w:rFonts w:eastAsia="標楷體" w:cstheme="minorHAnsi"/>
              </w:rPr>
              <w:t>稽核室</w:t>
            </w:r>
          </w:p>
        </w:tc>
        <w:tc>
          <w:tcPr>
            <w:tcW w:w="5245" w:type="dxa"/>
          </w:tcPr>
          <w:p w:rsidR="007055B3" w:rsidRPr="00DE6CAD" w:rsidRDefault="00F34921" w:rsidP="00633621">
            <w:pPr>
              <w:spacing w:line="300" w:lineRule="exact"/>
              <w:ind w:leftChars="-12" w:left="221" w:hangingChars="104" w:hanging="250"/>
              <w:rPr>
                <w:rFonts w:eastAsia="標楷體" w:cstheme="minorHAnsi"/>
              </w:rPr>
            </w:pPr>
            <w:r w:rsidRPr="00DE6CAD">
              <w:rPr>
                <w:rFonts w:eastAsia="標楷體" w:cstheme="minorHAnsi"/>
              </w:rPr>
              <w:t>1.</w:t>
            </w:r>
            <w:r w:rsidR="007055B3" w:rsidRPr="00DE6CAD">
              <w:rPr>
                <w:rFonts w:eastAsia="標楷體" w:cstheme="minorHAnsi"/>
              </w:rPr>
              <w:t>督導各執行單位遵循核決權限與相關管理辦法及程序</w:t>
            </w:r>
          </w:p>
          <w:p w:rsidR="000310D0" w:rsidRPr="00DE6CAD" w:rsidRDefault="00F34921" w:rsidP="00F34921">
            <w:pPr>
              <w:snapToGrid w:val="0"/>
              <w:spacing w:line="300" w:lineRule="exact"/>
              <w:rPr>
                <w:rFonts w:eastAsia="標楷體" w:cstheme="minorHAnsi"/>
              </w:rPr>
            </w:pPr>
            <w:r w:rsidRPr="00DE6CAD">
              <w:rPr>
                <w:rFonts w:eastAsia="標楷體" w:cstheme="minorHAnsi"/>
              </w:rPr>
              <w:t>2.</w:t>
            </w:r>
            <w:r w:rsidR="000310D0" w:rsidRPr="00DE6CAD">
              <w:rPr>
                <w:rFonts w:eastAsia="標楷體" w:cstheme="minorHAnsi"/>
              </w:rPr>
              <w:t>稽查並出具報告予董事會及審計委員會</w:t>
            </w:r>
          </w:p>
        </w:tc>
      </w:tr>
    </w:tbl>
    <w:p w:rsidR="00C93B0F" w:rsidRPr="00DE6CAD" w:rsidRDefault="00C93B0F" w:rsidP="00EE6E8F">
      <w:pPr>
        <w:spacing w:beforeLines="50" w:before="180"/>
        <w:rPr>
          <w:rFonts w:eastAsia="標楷體" w:cstheme="minorHAnsi"/>
          <w:b/>
        </w:rPr>
      </w:pPr>
      <w:r w:rsidRPr="00DE6CAD">
        <w:rPr>
          <w:rFonts w:eastAsia="標楷體" w:cstheme="minorHAnsi"/>
          <w:b/>
        </w:rPr>
        <w:t>第</w:t>
      </w:r>
      <w:r w:rsidR="0008765C" w:rsidRPr="00DE6CAD">
        <w:rPr>
          <w:rFonts w:eastAsia="標楷體" w:cstheme="minorHAnsi"/>
          <w:b/>
        </w:rPr>
        <w:t>四</w:t>
      </w:r>
      <w:r w:rsidRPr="00DE6CAD">
        <w:rPr>
          <w:rFonts w:eastAsia="標楷體" w:cstheme="minorHAnsi"/>
          <w:b/>
        </w:rPr>
        <w:t>條</w:t>
      </w:r>
      <w:r w:rsidRPr="00DE6CAD">
        <w:rPr>
          <w:rFonts w:eastAsia="標楷體" w:cstheme="minorHAnsi"/>
          <w:b/>
        </w:rPr>
        <w:t xml:space="preserve"> </w:t>
      </w:r>
      <w:r w:rsidRPr="00DE6CAD">
        <w:rPr>
          <w:rFonts w:eastAsia="標楷體" w:cstheme="minorHAnsi"/>
          <w:b/>
        </w:rPr>
        <w:t>風險管理</w:t>
      </w:r>
      <w:r w:rsidR="0008765C" w:rsidRPr="00DE6CAD">
        <w:rPr>
          <w:rFonts w:eastAsia="標楷體" w:cstheme="minorHAnsi"/>
          <w:b/>
        </w:rPr>
        <w:t>流程</w:t>
      </w:r>
      <w:r w:rsidRPr="00DE6CAD">
        <w:rPr>
          <w:rFonts w:eastAsia="標楷體" w:cstheme="minorHAnsi"/>
          <w:b/>
        </w:rPr>
        <w:t>之</w:t>
      </w:r>
      <w:r w:rsidR="0008765C" w:rsidRPr="00DE6CAD">
        <w:rPr>
          <w:rFonts w:eastAsia="標楷體" w:cstheme="minorHAnsi"/>
          <w:b/>
        </w:rPr>
        <w:t>風險</w:t>
      </w:r>
      <w:r w:rsidR="007055B3" w:rsidRPr="00DE6CAD">
        <w:rPr>
          <w:rFonts w:eastAsia="標楷體" w:cstheme="minorHAnsi"/>
          <w:b/>
        </w:rPr>
        <w:t>辨識</w:t>
      </w:r>
    </w:p>
    <w:p w:rsidR="000C760E" w:rsidRPr="00DE6CAD" w:rsidRDefault="00C93B0F" w:rsidP="00CD2BD0">
      <w:pPr>
        <w:spacing w:line="300" w:lineRule="exact"/>
        <w:ind w:rightChars="-260" w:right="-624"/>
        <w:rPr>
          <w:rFonts w:eastAsia="標楷體" w:cstheme="minorHAnsi"/>
        </w:rPr>
      </w:pPr>
      <w:r w:rsidRPr="00DE6CAD">
        <w:rPr>
          <w:rFonts w:eastAsia="標楷體" w:cstheme="minorHAnsi"/>
        </w:rPr>
        <w:t>風險管理</w:t>
      </w:r>
      <w:r w:rsidR="000310D0" w:rsidRPr="00DE6CAD">
        <w:rPr>
          <w:rFonts w:eastAsia="標楷體" w:cstheme="minorHAnsi"/>
        </w:rPr>
        <w:t>係</w:t>
      </w:r>
      <w:r w:rsidRPr="00DE6CAD">
        <w:rPr>
          <w:rFonts w:eastAsia="標楷體" w:cstheme="minorHAnsi"/>
        </w:rPr>
        <w:t>制定策略、辨識風險事件並加以管理，</w:t>
      </w:r>
      <w:r w:rsidR="000310D0" w:rsidRPr="00DE6CAD">
        <w:rPr>
          <w:rFonts w:eastAsia="標楷體" w:cstheme="minorHAnsi"/>
        </w:rPr>
        <w:t>期將企業經營之風險</w:t>
      </w:r>
      <w:r w:rsidRPr="00DE6CAD">
        <w:rPr>
          <w:rFonts w:eastAsia="標楷體" w:cstheme="minorHAnsi"/>
        </w:rPr>
        <w:t>在</w:t>
      </w:r>
      <w:r w:rsidR="000310D0" w:rsidRPr="00DE6CAD">
        <w:rPr>
          <w:rFonts w:eastAsia="標楷體" w:cstheme="minorHAnsi"/>
        </w:rPr>
        <w:t>公司</w:t>
      </w:r>
      <w:r w:rsidRPr="00DE6CAD">
        <w:rPr>
          <w:rFonts w:eastAsia="標楷體" w:cstheme="minorHAnsi"/>
        </w:rPr>
        <w:t>可控範圍內</w:t>
      </w:r>
      <w:r w:rsidR="004A756D" w:rsidRPr="00DE6CAD">
        <w:rPr>
          <w:rFonts w:eastAsia="標楷體" w:cstheme="minorHAnsi"/>
        </w:rPr>
        <w:t>，</w:t>
      </w:r>
      <w:r w:rsidRPr="00DE6CAD">
        <w:rPr>
          <w:rFonts w:eastAsia="標楷體" w:cstheme="minorHAnsi"/>
        </w:rPr>
        <w:t>合理確保公司</w:t>
      </w:r>
      <w:r w:rsidR="000310D0" w:rsidRPr="00DE6CAD">
        <w:rPr>
          <w:rFonts w:eastAsia="標楷體" w:cstheme="minorHAnsi"/>
        </w:rPr>
        <w:t>策略</w:t>
      </w:r>
      <w:r w:rsidRPr="00DE6CAD">
        <w:rPr>
          <w:rFonts w:eastAsia="標楷體" w:cstheme="minorHAnsi"/>
        </w:rPr>
        <w:t>目標之達成。</w:t>
      </w:r>
    </w:p>
    <w:p w:rsidR="000310D0" w:rsidRPr="00DE6CAD" w:rsidRDefault="00C93B0F" w:rsidP="00DE6CAD">
      <w:pPr>
        <w:spacing w:beforeLines="30" w:before="108" w:line="300" w:lineRule="exact"/>
        <w:ind w:rightChars="-159" w:right="-382"/>
        <w:rPr>
          <w:rFonts w:eastAsia="標楷體" w:cstheme="minorHAnsi"/>
        </w:rPr>
      </w:pPr>
      <w:r w:rsidRPr="00DE6CAD">
        <w:rPr>
          <w:rFonts w:eastAsia="標楷體" w:cstheme="minorHAnsi"/>
        </w:rPr>
        <w:t>本公司評估</w:t>
      </w:r>
      <w:r w:rsidR="000310D0" w:rsidRPr="00DE6CAD">
        <w:rPr>
          <w:rFonts w:eastAsia="標楷體" w:cstheme="minorHAnsi"/>
        </w:rPr>
        <w:t>、辨識之</w:t>
      </w:r>
      <w:r w:rsidRPr="00DE6CAD">
        <w:rPr>
          <w:rFonts w:eastAsia="標楷體" w:cstheme="minorHAnsi"/>
        </w:rPr>
        <w:t>風險</w:t>
      </w:r>
      <w:r w:rsidR="000C760E" w:rsidRPr="00DE6CAD">
        <w:rPr>
          <w:rFonts w:eastAsia="標楷體" w:cstheme="minorHAnsi"/>
          <w:lang w:eastAsia="zh-HK"/>
        </w:rPr>
        <w:t>分為下列四大面向</w:t>
      </w:r>
      <w:r w:rsidR="00633621" w:rsidRPr="00DE6CAD">
        <w:rPr>
          <w:rFonts w:eastAsia="標楷體" w:cstheme="minorHAnsi"/>
        </w:rPr>
        <w:t>：</w:t>
      </w:r>
      <w:r w:rsidRPr="00DE6CAD">
        <w:rPr>
          <w:rFonts w:eastAsia="標楷體" w:cstheme="minorHAnsi"/>
        </w:rPr>
        <w:t>「策略風險」、</w:t>
      </w:r>
      <w:r w:rsidR="007216B4" w:rsidRPr="00DE6CAD">
        <w:rPr>
          <w:rFonts w:eastAsia="標楷體" w:cstheme="minorHAnsi"/>
        </w:rPr>
        <w:t>「</w:t>
      </w:r>
      <w:r w:rsidR="007216B4" w:rsidRPr="00DE6CAD">
        <w:rPr>
          <w:rFonts w:eastAsia="標楷體" w:cstheme="minorHAnsi"/>
          <w:lang w:eastAsia="zh-HK"/>
        </w:rPr>
        <w:t>營運</w:t>
      </w:r>
      <w:r w:rsidR="007216B4" w:rsidRPr="00DE6CAD">
        <w:rPr>
          <w:rFonts w:eastAsia="標楷體" w:cstheme="minorHAnsi"/>
        </w:rPr>
        <w:t>風險」、</w:t>
      </w:r>
      <w:r w:rsidRPr="00DE6CAD">
        <w:rPr>
          <w:rFonts w:eastAsia="標楷體" w:cstheme="minorHAnsi"/>
        </w:rPr>
        <w:t>「財務風險」</w:t>
      </w:r>
      <w:r w:rsidR="006F7536" w:rsidRPr="00DE6CAD">
        <w:rPr>
          <w:rFonts w:eastAsia="標楷體" w:cstheme="minorHAnsi"/>
        </w:rPr>
        <w:t>、「法遵風險」</w:t>
      </w:r>
      <w:r w:rsidR="000310D0" w:rsidRPr="00DE6CAD">
        <w:rPr>
          <w:rFonts w:eastAsia="標楷體" w:cstheme="minorHAnsi"/>
        </w:rPr>
        <w:t>。</w:t>
      </w:r>
    </w:p>
    <w:p w:rsidR="00AB0D42" w:rsidRPr="00DE6CAD" w:rsidRDefault="00AB0D42" w:rsidP="009B5EE7">
      <w:pPr>
        <w:spacing w:beforeLines="30" w:before="108" w:afterLines="30" w:after="108" w:line="240" w:lineRule="exact"/>
        <w:rPr>
          <w:rFonts w:eastAsia="標楷體" w:cstheme="minorHAnsi"/>
          <w:lang w:eastAsia="zh-HK"/>
        </w:rPr>
      </w:pPr>
      <w:r w:rsidRPr="00DE6CAD">
        <w:rPr>
          <w:rFonts w:eastAsia="標楷體" w:cstheme="minorHAnsi"/>
          <w:lang w:eastAsia="zh-HK"/>
        </w:rPr>
        <w:t>一、策略風險</w:t>
      </w:r>
    </w:p>
    <w:p w:rsidR="00AB0D42" w:rsidRPr="00DE6CAD" w:rsidRDefault="00AB0D42" w:rsidP="000C760E">
      <w:pPr>
        <w:pStyle w:val="a8"/>
        <w:numPr>
          <w:ilvl w:val="0"/>
          <w:numId w:val="9"/>
        </w:numPr>
        <w:spacing w:line="240" w:lineRule="exact"/>
        <w:ind w:leftChars="0" w:firstLine="38"/>
        <w:rPr>
          <w:rFonts w:eastAsia="標楷體" w:cstheme="minorHAnsi"/>
          <w:lang w:eastAsia="zh-HK"/>
        </w:rPr>
      </w:pPr>
      <w:r w:rsidRPr="00DE6CAD">
        <w:rPr>
          <w:rFonts w:eastAsia="標楷體" w:cstheme="minorHAnsi"/>
          <w:lang w:eastAsia="zh-HK"/>
        </w:rPr>
        <w:t>產業變化</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4. </w:t>
      </w:r>
      <w:r w:rsidR="00DE6CAD" w:rsidRPr="00DE6CAD">
        <w:rPr>
          <w:rFonts w:eastAsia="標楷體" w:cstheme="minorHAnsi"/>
          <w:lang w:eastAsia="zh-HK"/>
        </w:rPr>
        <w:t>組織架構因應能力</w:t>
      </w:r>
    </w:p>
    <w:p w:rsidR="00AB0D42" w:rsidRPr="00DE6CAD" w:rsidRDefault="00AB0D42" w:rsidP="000C760E">
      <w:pPr>
        <w:pStyle w:val="a8"/>
        <w:numPr>
          <w:ilvl w:val="0"/>
          <w:numId w:val="9"/>
        </w:numPr>
        <w:spacing w:line="240" w:lineRule="exact"/>
        <w:ind w:leftChars="0" w:firstLine="38"/>
        <w:rPr>
          <w:rFonts w:eastAsia="標楷體" w:cstheme="minorHAnsi"/>
          <w:lang w:eastAsia="zh-HK"/>
        </w:rPr>
      </w:pPr>
      <w:r w:rsidRPr="00DE6CAD">
        <w:rPr>
          <w:rFonts w:eastAsia="標楷體" w:cstheme="minorHAnsi"/>
          <w:lang w:eastAsia="zh-HK"/>
        </w:rPr>
        <w:t>科技變化</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5. </w:t>
      </w:r>
      <w:r w:rsidR="00DE6CAD" w:rsidRPr="00DE6CAD">
        <w:rPr>
          <w:rFonts w:eastAsia="標楷體" w:cstheme="minorHAnsi"/>
          <w:lang w:eastAsia="zh-HK"/>
        </w:rPr>
        <w:t>策略投資</w:t>
      </w:r>
    </w:p>
    <w:p w:rsidR="00AB0D42" w:rsidRPr="00DE6CAD" w:rsidRDefault="00AB0D42" w:rsidP="00DE6CAD">
      <w:pPr>
        <w:pStyle w:val="a8"/>
        <w:numPr>
          <w:ilvl w:val="0"/>
          <w:numId w:val="9"/>
        </w:numPr>
        <w:spacing w:line="240" w:lineRule="exact"/>
        <w:ind w:leftChars="0" w:firstLine="38"/>
        <w:rPr>
          <w:rFonts w:eastAsia="標楷體" w:cstheme="minorHAnsi"/>
          <w:lang w:eastAsia="zh-HK"/>
        </w:rPr>
      </w:pPr>
      <w:r w:rsidRPr="00DE6CAD">
        <w:rPr>
          <w:rFonts w:eastAsia="標楷體" w:cstheme="minorHAnsi"/>
          <w:lang w:eastAsia="zh-HK"/>
        </w:rPr>
        <w:t>商業模式訂定</w:t>
      </w:r>
    </w:p>
    <w:p w:rsidR="00AB0D42" w:rsidRPr="00DE6CAD" w:rsidRDefault="00AB0D42" w:rsidP="009B5EE7">
      <w:pPr>
        <w:spacing w:beforeLines="30" w:before="108" w:afterLines="30" w:after="108" w:line="240" w:lineRule="exact"/>
        <w:rPr>
          <w:rFonts w:eastAsia="標楷體" w:cstheme="minorHAnsi"/>
          <w:lang w:eastAsia="zh-HK"/>
        </w:rPr>
      </w:pPr>
      <w:r w:rsidRPr="00DE6CAD">
        <w:rPr>
          <w:rFonts w:eastAsia="標楷體" w:cstheme="minorHAnsi"/>
          <w:lang w:eastAsia="zh-HK"/>
        </w:rPr>
        <w:t>二</w:t>
      </w:r>
      <w:r w:rsidRPr="00DE6CAD">
        <w:rPr>
          <w:rFonts w:eastAsia="標楷體" w:cstheme="minorHAnsi"/>
        </w:rPr>
        <w:t>、</w:t>
      </w:r>
      <w:r w:rsidRPr="00DE6CAD">
        <w:rPr>
          <w:rFonts w:eastAsia="標楷體" w:cstheme="minorHAnsi"/>
          <w:lang w:eastAsia="zh-HK"/>
        </w:rPr>
        <w:t>營運風險</w:t>
      </w:r>
    </w:p>
    <w:p w:rsidR="00AB0D42" w:rsidRPr="00DE6CAD" w:rsidRDefault="00AB0D42" w:rsidP="000C760E">
      <w:pPr>
        <w:pStyle w:val="a8"/>
        <w:numPr>
          <w:ilvl w:val="0"/>
          <w:numId w:val="11"/>
        </w:numPr>
        <w:spacing w:line="240" w:lineRule="exact"/>
        <w:ind w:leftChars="0" w:hanging="4"/>
        <w:rPr>
          <w:rFonts w:eastAsia="標楷體" w:cstheme="minorHAnsi"/>
          <w:lang w:eastAsia="zh-HK"/>
        </w:rPr>
      </w:pPr>
      <w:r w:rsidRPr="00DE6CAD">
        <w:rPr>
          <w:rFonts w:eastAsia="標楷體" w:cstheme="minorHAnsi"/>
          <w:lang w:eastAsia="zh-HK"/>
        </w:rPr>
        <w:t>市場需求及供應能力</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5. </w:t>
      </w:r>
      <w:r w:rsidR="00DE6CAD" w:rsidRPr="00DE6CAD">
        <w:rPr>
          <w:rFonts w:eastAsia="標楷體" w:cstheme="minorHAnsi"/>
          <w:lang w:eastAsia="zh-HK"/>
        </w:rPr>
        <w:t>客戶關係管理</w:t>
      </w:r>
    </w:p>
    <w:p w:rsidR="00AB0D42" w:rsidRPr="00DE6CAD" w:rsidRDefault="00AB0D42" w:rsidP="000C760E">
      <w:pPr>
        <w:pStyle w:val="a8"/>
        <w:numPr>
          <w:ilvl w:val="0"/>
          <w:numId w:val="11"/>
        </w:numPr>
        <w:spacing w:line="240" w:lineRule="exact"/>
        <w:ind w:leftChars="0" w:hanging="4"/>
        <w:rPr>
          <w:rFonts w:eastAsia="標楷體" w:cstheme="minorHAnsi"/>
          <w:lang w:eastAsia="zh-HK"/>
        </w:rPr>
      </w:pPr>
      <w:r w:rsidRPr="00DE6CAD">
        <w:rPr>
          <w:rFonts w:eastAsia="標楷體" w:cstheme="minorHAnsi"/>
          <w:lang w:eastAsia="zh-HK"/>
        </w:rPr>
        <w:t>企業持續營運風險</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6. </w:t>
      </w:r>
      <w:r w:rsidR="00DE6CAD" w:rsidRPr="00DE6CAD">
        <w:rPr>
          <w:rFonts w:eastAsia="標楷體" w:cstheme="minorHAnsi"/>
          <w:lang w:eastAsia="zh-HK"/>
        </w:rPr>
        <w:t>智慧財產管理</w:t>
      </w:r>
    </w:p>
    <w:p w:rsidR="00AB0D42" w:rsidRPr="00DE6CAD" w:rsidRDefault="00AB0D42" w:rsidP="000C760E">
      <w:pPr>
        <w:pStyle w:val="a8"/>
        <w:numPr>
          <w:ilvl w:val="0"/>
          <w:numId w:val="11"/>
        </w:numPr>
        <w:spacing w:line="240" w:lineRule="exact"/>
        <w:ind w:leftChars="0" w:hanging="4"/>
        <w:rPr>
          <w:rFonts w:eastAsia="標楷體" w:cstheme="minorHAnsi"/>
          <w:lang w:eastAsia="zh-HK"/>
        </w:rPr>
      </w:pPr>
      <w:r w:rsidRPr="00DE6CAD">
        <w:rPr>
          <w:rFonts w:eastAsia="標楷體" w:cstheme="minorHAnsi"/>
          <w:lang w:eastAsia="zh-HK"/>
        </w:rPr>
        <w:t>資訊安全</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7. </w:t>
      </w:r>
      <w:r w:rsidR="00DE6CAD" w:rsidRPr="00DE6CAD">
        <w:rPr>
          <w:rFonts w:eastAsia="標楷體" w:cstheme="minorHAnsi"/>
          <w:lang w:eastAsia="zh-HK"/>
        </w:rPr>
        <w:t>企業品牌形象</w:t>
      </w:r>
    </w:p>
    <w:p w:rsidR="00AB0D42" w:rsidRPr="00DE6CAD" w:rsidRDefault="009C7EDE" w:rsidP="000C760E">
      <w:pPr>
        <w:pStyle w:val="a8"/>
        <w:numPr>
          <w:ilvl w:val="0"/>
          <w:numId w:val="11"/>
        </w:numPr>
        <w:spacing w:line="240" w:lineRule="exact"/>
        <w:ind w:leftChars="0" w:hanging="4"/>
        <w:rPr>
          <w:rFonts w:eastAsia="標楷體" w:cstheme="minorHAnsi"/>
          <w:lang w:eastAsia="zh-HK"/>
        </w:rPr>
      </w:pPr>
      <w:r w:rsidRPr="00DE6CAD">
        <w:rPr>
          <w:rFonts w:eastAsia="標楷體" w:cstheme="minorHAnsi"/>
          <w:lang w:eastAsia="zh-HK"/>
        </w:rPr>
        <w:t>供應</w:t>
      </w:r>
      <w:r w:rsidR="00DD18C8" w:rsidRPr="00DE6CAD">
        <w:rPr>
          <w:rFonts w:eastAsia="標楷體" w:cstheme="minorHAnsi"/>
          <w:lang w:eastAsia="zh-HK"/>
        </w:rPr>
        <w:t>鏈</w:t>
      </w:r>
      <w:r w:rsidR="00AB0D42" w:rsidRPr="00DE6CAD">
        <w:rPr>
          <w:rFonts w:eastAsia="標楷體" w:cstheme="minorHAnsi"/>
          <w:lang w:eastAsia="zh-HK"/>
        </w:rPr>
        <w:t>管理</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8.</w:t>
      </w:r>
      <w:r w:rsidR="00DE6CAD" w:rsidRPr="00DE6CAD">
        <w:rPr>
          <w:rFonts w:eastAsia="標楷體" w:cstheme="minorHAnsi"/>
          <w:lang w:eastAsia="zh-HK"/>
        </w:rPr>
        <w:t xml:space="preserve"> </w:t>
      </w:r>
      <w:r w:rsidR="00DE6CAD" w:rsidRPr="00DE6CAD">
        <w:rPr>
          <w:rFonts w:eastAsia="標楷體" w:cstheme="minorHAnsi"/>
          <w:lang w:eastAsia="zh-HK"/>
        </w:rPr>
        <w:t>人力資源管理</w:t>
      </w:r>
    </w:p>
    <w:p w:rsidR="000310D0" w:rsidRPr="00DE6CAD" w:rsidRDefault="00AB0D42" w:rsidP="009B5EE7">
      <w:pPr>
        <w:pStyle w:val="a8"/>
        <w:spacing w:beforeLines="30" w:before="108" w:afterLines="30" w:after="108" w:line="240" w:lineRule="exact"/>
        <w:ind w:leftChars="0" w:left="0"/>
        <w:rPr>
          <w:rFonts w:eastAsia="標楷體" w:cstheme="minorHAnsi"/>
        </w:rPr>
      </w:pPr>
      <w:r w:rsidRPr="00DE6CAD">
        <w:rPr>
          <w:rFonts w:eastAsia="標楷體" w:cstheme="minorHAnsi"/>
          <w:lang w:eastAsia="zh-HK"/>
        </w:rPr>
        <w:t>三</w:t>
      </w:r>
      <w:r w:rsidRPr="00DE6CAD">
        <w:rPr>
          <w:rFonts w:eastAsia="標楷體" w:cstheme="minorHAnsi"/>
        </w:rPr>
        <w:t>、</w:t>
      </w:r>
      <w:r w:rsidR="000310D0" w:rsidRPr="00DE6CAD">
        <w:rPr>
          <w:rFonts w:eastAsia="標楷體" w:cstheme="minorHAnsi"/>
        </w:rPr>
        <w:t>財務風險</w:t>
      </w:r>
    </w:p>
    <w:p w:rsidR="00B234F7" w:rsidRPr="00DE6CAD" w:rsidRDefault="00B234F7" w:rsidP="000C760E">
      <w:pPr>
        <w:pStyle w:val="a8"/>
        <w:numPr>
          <w:ilvl w:val="0"/>
          <w:numId w:val="12"/>
        </w:numPr>
        <w:spacing w:line="240" w:lineRule="exact"/>
        <w:ind w:leftChars="0"/>
        <w:rPr>
          <w:rFonts w:eastAsia="標楷體" w:cstheme="minorHAnsi"/>
          <w:lang w:eastAsia="zh-HK"/>
        </w:rPr>
      </w:pPr>
      <w:r w:rsidRPr="00DE6CAD">
        <w:rPr>
          <w:rFonts w:eastAsia="標楷體" w:cstheme="minorHAnsi"/>
          <w:lang w:eastAsia="zh-HK"/>
        </w:rPr>
        <w:t>利率、匯率</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3. </w:t>
      </w:r>
      <w:r w:rsidR="00DE6CAD" w:rsidRPr="00DE6CAD">
        <w:rPr>
          <w:rFonts w:eastAsia="標楷體" w:cstheme="minorHAnsi"/>
          <w:lang w:eastAsia="zh-HK"/>
        </w:rPr>
        <w:t>資金流動性</w:t>
      </w:r>
    </w:p>
    <w:p w:rsidR="00B234F7" w:rsidRPr="00DE6CAD" w:rsidRDefault="00B234F7" w:rsidP="000C760E">
      <w:pPr>
        <w:pStyle w:val="a8"/>
        <w:numPr>
          <w:ilvl w:val="0"/>
          <w:numId w:val="12"/>
        </w:numPr>
        <w:spacing w:line="240" w:lineRule="exact"/>
        <w:ind w:leftChars="0"/>
        <w:rPr>
          <w:rFonts w:eastAsia="標楷體" w:cstheme="minorHAnsi"/>
          <w:lang w:eastAsia="zh-HK"/>
        </w:rPr>
      </w:pPr>
      <w:r w:rsidRPr="00DE6CAD">
        <w:rPr>
          <w:rFonts w:eastAsia="標楷體" w:cstheme="minorHAnsi"/>
          <w:lang w:eastAsia="zh-HK"/>
        </w:rPr>
        <w:t>信用</w:t>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r>
      <w:r w:rsidR="00DE6CAD" w:rsidRPr="00DE6CAD">
        <w:rPr>
          <w:rFonts w:eastAsia="標楷體" w:cstheme="minorHAnsi"/>
        </w:rPr>
        <w:tab/>
        <w:t xml:space="preserve">4. </w:t>
      </w:r>
      <w:r w:rsidR="00DE6CAD" w:rsidRPr="00DE6CAD">
        <w:rPr>
          <w:rFonts w:eastAsia="標楷體" w:cstheme="minorHAnsi"/>
          <w:lang w:eastAsia="zh-HK"/>
        </w:rPr>
        <w:t>稅務</w:t>
      </w:r>
    </w:p>
    <w:p w:rsidR="000310D0" w:rsidRPr="00DE6CAD" w:rsidRDefault="00AB0D42" w:rsidP="009B5EE7">
      <w:pPr>
        <w:pStyle w:val="a8"/>
        <w:spacing w:beforeLines="30" w:before="108" w:afterLines="30" w:after="108" w:line="240" w:lineRule="exact"/>
        <w:ind w:leftChars="0" w:left="0"/>
        <w:rPr>
          <w:rFonts w:eastAsia="標楷體" w:cstheme="minorHAnsi"/>
        </w:rPr>
      </w:pPr>
      <w:r w:rsidRPr="00DE6CAD">
        <w:rPr>
          <w:rFonts w:eastAsia="標楷體" w:cstheme="minorHAnsi"/>
          <w:lang w:eastAsia="zh-HK"/>
        </w:rPr>
        <w:t>四</w:t>
      </w:r>
      <w:r w:rsidRPr="00DE6CAD">
        <w:rPr>
          <w:rFonts w:eastAsia="標楷體" w:cstheme="minorHAnsi"/>
        </w:rPr>
        <w:t>、</w:t>
      </w:r>
      <w:r w:rsidR="000310D0" w:rsidRPr="00DE6CAD">
        <w:rPr>
          <w:rFonts w:eastAsia="標楷體" w:cstheme="minorHAnsi"/>
        </w:rPr>
        <w:t>法遵風險</w:t>
      </w:r>
    </w:p>
    <w:p w:rsidR="00B234F7" w:rsidRPr="00DE6CAD" w:rsidRDefault="00B234F7" w:rsidP="009B5EE7">
      <w:pPr>
        <w:pStyle w:val="a8"/>
        <w:numPr>
          <w:ilvl w:val="0"/>
          <w:numId w:val="19"/>
        </w:numPr>
        <w:spacing w:line="240" w:lineRule="exact"/>
        <w:ind w:leftChars="0"/>
        <w:rPr>
          <w:rFonts w:eastAsia="標楷體" w:cstheme="minorHAnsi"/>
          <w:lang w:eastAsia="zh-HK"/>
        </w:rPr>
      </w:pPr>
      <w:r w:rsidRPr="00DE6CAD">
        <w:rPr>
          <w:rFonts w:eastAsia="標楷體" w:cstheme="minorHAnsi"/>
        </w:rPr>
        <w:t>產</w:t>
      </w:r>
      <w:r w:rsidRPr="00DE6CAD">
        <w:rPr>
          <w:rFonts w:eastAsia="標楷體" w:cstheme="minorHAnsi"/>
          <w:lang w:eastAsia="zh-HK"/>
        </w:rPr>
        <w:t>業及環境法規</w:t>
      </w:r>
    </w:p>
    <w:p w:rsidR="00B234F7" w:rsidRPr="00DE6CAD" w:rsidRDefault="00B234F7" w:rsidP="009B5EE7">
      <w:pPr>
        <w:pStyle w:val="a8"/>
        <w:numPr>
          <w:ilvl w:val="0"/>
          <w:numId w:val="19"/>
        </w:numPr>
        <w:spacing w:line="240" w:lineRule="exact"/>
        <w:ind w:leftChars="0"/>
        <w:rPr>
          <w:rFonts w:eastAsia="標楷體" w:cstheme="minorHAnsi"/>
        </w:rPr>
      </w:pPr>
      <w:r w:rsidRPr="00DE6CAD">
        <w:rPr>
          <w:rFonts w:eastAsia="標楷體" w:cstheme="minorHAnsi"/>
          <w:lang w:eastAsia="zh-HK"/>
        </w:rPr>
        <w:t>個資保</w:t>
      </w:r>
      <w:r w:rsidRPr="00DE6CAD">
        <w:rPr>
          <w:rFonts w:eastAsia="標楷體" w:cstheme="minorHAnsi"/>
        </w:rPr>
        <w:t>護</w:t>
      </w:r>
    </w:p>
    <w:p w:rsidR="00C93B0F" w:rsidRPr="00DE6CAD" w:rsidRDefault="00C93B0F" w:rsidP="00DE6CAD">
      <w:pPr>
        <w:spacing w:beforeLines="80" w:before="288"/>
        <w:rPr>
          <w:rFonts w:eastAsia="標楷體" w:cstheme="minorHAnsi"/>
          <w:b/>
        </w:rPr>
      </w:pPr>
      <w:r w:rsidRPr="00DE6CAD">
        <w:rPr>
          <w:rFonts w:eastAsia="標楷體" w:cstheme="minorHAnsi"/>
          <w:b/>
        </w:rPr>
        <w:lastRenderedPageBreak/>
        <w:t>第</w:t>
      </w:r>
      <w:r w:rsidR="0008765C" w:rsidRPr="00DE6CAD">
        <w:rPr>
          <w:rFonts w:eastAsia="標楷體" w:cstheme="minorHAnsi"/>
          <w:b/>
        </w:rPr>
        <w:t>五</w:t>
      </w:r>
      <w:r w:rsidRPr="00DE6CAD">
        <w:rPr>
          <w:rFonts w:eastAsia="標楷體" w:cstheme="minorHAnsi"/>
          <w:b/>
        </w:rPr>
        <w:t>條</w:t>
      </w:r>
      <w:r w:rsidRPr="00DE6CAD">
        <w:rPr>
          <w:rFonts w:eastAsia="標楷體" w:cstheme="minorHAnsi"/>
          <w:b/>
        </w:rPr>
        <w:t xml:space="preserve"> </w:t>
      </w:r>
      <w:r w:rsidRPr="00DE6CAD">
        <w:rPr>
          <w:rFonts w:eastAsia="標楷體" w:cstheme="minorHAnsi"/>
          <w:b/>
        </w:rPr>
        <w:t>風險</w:t>
      </w:r>
      <w:r w:rsidR="0008765C" w:rsidRPr="00DE6CAD">
        <w:rPr>
          <w:rFonts w:eastAsia="標楷體" w:cstheme="minorHAnsi"/>
          <w:b/>
        </w:rPr>
        <w:t>評估</w:t>
      </w:r>
    </w:p>
    <w:p w:rsidR="00C93B0F" w:rsidRPr="00DE6CAD" w:rsidRDefault="00DE6CAD" w:rsidP="00CD2BD0">
      <w:pPr>
        <w:spacing w:line="300" w:lineRule="exact"/>
        <w:ind w:rightChars="-260" w:right="-624"/>
        <w:rPr>
          <w:rFonts w:eastAsia="標楷體" w:cstheme="minorHAnsi"/>
        </w:rPr>
      </w:pPr>
      <w:r w:rsidRPr="00DE6CAD">
        <w:rPr>
          <w:rFonts w:eastAsia="標楷體" w:cstheme="minorHAnsi"/>
        </w:rPr>
        <w:t>本</w:t>
      </w:r>
      <w:r w:rsidR="00C93B0F" w:rsidRPr="00DE6CAD">
        <w:rPr>
          <w:rFonts w:eastAsia="標楷體" w:cstheme="minorHAnsi"/>
        </w:rPr>
        <w:t>公司各部門必須依實務狀況分析已辨識的風險，運用各項資訊來判斷風險發生的可能性，並研判其結果對公司之影響程度。</w:t>
      </w:r>
      <w:r w:rsidR="00B234F7" w:rsidRPr="00DE6CAD">
        <w:rPr>
          <w:rFonts w:eastAsia="標楷體" w:cstheme="minorHAnsi"/>
        </w:rPr>
        <w:t xml:space="preserve"> </w:t>
      </w:r>
      <w:r w:rsidR="00C93B0F" w:rsidRPr="00DE6CAD">
        <w:rPr>
          <w:rFonts w:eastAsia="標楷體" w:cstheme="minorHAnsi"/>
        </w:rPr>
        <w:t>進行風險分析時，必須考量現行的內部控制是否可防止風險事件。風險分析結果，必須研判風險等級</w:t>
      </w:r>
      <w:r w:rsidR="00C93B0F" w:rsidRPr="00DE6CAD">
        <w:rPr>
          <w:rFonts w:eastAsia="標楷體" w:cstheme="minorHAnsi"/>
        </w:rPr>
        <w:t>(</w:t>
      </w:r>
      <w:r w:rsidR="00C93B0F" w:rsidRPr="00DE6CAD">
        <w:rPr>
          <w:rFonts w:eastAsia="標楷體" w:cstheme="minorHAnsi"/>
        </w:rPr>
        <w:t>高、中、低</w:t>
      </w:r>
      <w:r w:rsidR="00C93B0F" w:rsidRPr="00DE6CAD">
        <w:rPr>
          <w:rFonts w:eastAsia="標楷體" w:cstheme="minorHAnsi"/>
        </w:rPr>
        <w:t>)</w:t>
      </w:r>
      <w:r w:rsidR="00C93B0F" w:rsidRPr="00DE6CAD">
        <w:rPr>
          <w:rFonts w:eastAsia="標楷體" w:cstheme="minorHAnsi"/>
        </w:rPr>
        <w:t>，並提供必要資訊作為風險評估與風險應變的依據。</w:t>
      </w:r>
    </w:p>
    <w:p w:rsidR="00C93B0F" w:rsidRPr="00DE6CAD" w:rsidRDefault="00C93B0F" w:rsidP="00CD2BD0">
      <w:pPr>
        <w:spacing w:beforeLines="50" w:before="180"/>
        <w:rPr>
          <w:rFonts w:eastAsia="標楷體" w:cstheme="minorHAnsi"/>
          <w:b/>
        </w:rPr>
      </w:pPr>
      <w:r w:rsidRPr="00DE6CAD">
        <w:rPr>
          <w:rFonts w:eastAsia="標楷體" w:cstheme="minorHAnsi"/>
          <w:b/>
        </w:rPr>
        <w:t>第</w:t>
      </w:r>
      <w:r w:rsidR="0008765C" w:rsidRPr="00DE6CAD">
        <w:rPr>
          <w:rFonts w:eastAsia="標楷體" w:cstheme="minorHAnsi"/>
          <w:b/>
        </w:rPr>
        <w:t>六</w:t>
      </w:r>
      <w:r w:rsidRPr="00DE6CAD">
        <w:rPr>
          <w:rFonts w:eastAsia="標楷體" w:cstheme="minorHAnsi"/>
          <w:b/>
        </w:rPr>
        <w:t>條</w:t>
      </w:r>
      <w:r w:rsidR="006F7536" w:rsidRPr="00DE6CAD">
        <w:rPr>
          <w:rFonts w:eastAsia="標楷體" w:cstheme="minorHAnsi"/>
          <w:b/>
        </w:rPr>
        <w:t xml:space="preserve"> </w:t>
      </w:r>
      <w:r w:rsidRPr="00DE6CAD">
        <w:rPr>
          <w:rFonts w:eastAsia="標楷體" w:cstheme="minorHAnsi"/>
          <w:b/>
        </w:rPr>
        <w:t>風險</w:t>
      </w:r>
      <w:r w:rsidR="00B234F7" w:rsidRPr="00DE6CAD">
        <w:rPr>
          <w:rFonts w:eastAsia="標楷體" w:cstheme="minorHAnsi"/>
          <w:b/>
        </w:rPr>
        <w:t>控制及監督</w:t>
      </w:r>
    </w:p>
    <w:p w:rsidR="00C93B0F" w:rsidRPr="00DE6CAD" w:rsidRDefault="00C93B0F" w:rsidP="00CD2BD0">
      <w:pPr>
        <w:spacing w:line="300" w:lineRule="exact"/>
        <w:ind w:leftChars="18" w:left="504" w:rightChars="-260" w:right="-624" w:hangingChars="192" w:hanging="461"/>
        <w:rPr>
          <w:rFonts w:eastAsia="標楷體" w:cstheme="minorHAnsi"/>
        </w:rPr>
      </w:pPr>
      <w:r w:rsidRPr="00DE6CAD">
        <w:rPr>
          <w:rFonts w:eastAsia="標楷體" w:cstheme="minorHAnsi"/>
        </w:rPr>
        <w:t>一、</w:t>
      </w:r>
      <w:r w:rsidR="00DE6CAD" w:rsidRPr="00DE6CAD">
        <w:rPr>
          <w:rFonts w:eastAsia="標楷體" w:cstheme="minorHAnsi"/>
        </w:rPr>
        <w:t>本</w:t>
      </w:r>
      <w:r w:rsidRPr="00DE6CAD">
        <w:rPr>
          <w:rFonts w:eastAsia="標楷體" w:cstheme="minorHAnsi"/>
        </w:rPr>
        <w:t>公司風險政策係由</w:t>
      </w:r>
      <w:r w:rsidR="009D3F3D" w:rsidRPr="00DE6CAD">
        <w:rPr>
          <w:rFonts w:eastAsia="標楷體" w:cstheme="minorHAnsi"/>
        </w:rPr>
        <w:t>總經理或營運長</w:t>
      </w:r>
      <w:r w:rsidRPr="00DE6CAD">
        <w:rPr>
          <w:rFonts w:eastAsia="標楷體" w:cstheme="minorHAnsi"/>
        </w:rPr>
        <w:t>依風險類型召集權責單位執行風險管理措施，並強調全員全面風險控管，平時落實層層防範，以有效作好風險管理。</w:t>
      </w:r>
    </w:p>
    <w:p w:rsidR="00C93B0F" w:rsidRPr="00DE6CAD" w:rsidRDefault="00C93B0F" w:rsidP="00465898">
      <w:pPr>
        <w:spacing w:line="300" w:lineRule="exact"/>
        <w:ind w:rightChars="-260" w:right="-624" w:firstLineChars="17" w:firstLine="41"/>
        <w:rPr>
          <w:rFonts w:eastAsia="標楷體" w:cstheme="minorHAnsi"/>
        </w:rPr>
      </w:pPr>
      <w:r w:rsidRPr="00DE6CAD">
        <w:rPr>
          <w:rFonts w:eastAsia="標楷體" w:cstheme="minorHAnsi"/>
        </w:rPr>
        <w:t>二、各部</w:t>
      </w:r>
      <w:r w:rsidR="00AB0D42" w:rsidRPr="00DE6CAD">
        <w:rPr>
          <w:rFonts w:eastAsia="標楷體" w:cstheme="minorHAnsi"/>
        </w:rPr>
        <w:t>門</w:t>
      </w:r>
      <w:r w:rsidRPr="00DE6CAD">
        <w:rPr>
          <w:rFonts w:eastAsia="標楷體" w:cstheme="minorHAnsi"/>
        </w:rPr>
        <w:t>主管及單位主管應於日常管理作業中，進行風險控</w:t>
      </w:r>
      <w:r w:rsidR="00B234F7" w:rsidRPr="00DE6CAD">
        <w:rPr>
          <w:rFonts w:eastAsia="標楷體" w:cstheme="minorHAnsi"/>
        </w:rPr>
        <w:t>制</w:t>
      </w:r>
      <w:r w:rsidR="00AB0D42" w:rsidRPr="00DE6CAD">
        <w:rPr>
          <w:rFonts w:eastAsia="標楷體" w:cstheme="minorHAnsi"/>
        </w:rPr>
        <w:t>之</w:t>
      </w:r>
      <w:r w:rsidR="00B234F7" w:rsidRPr="00DE6CAD">
        <w:rPr>
          <w:rFonts w:eastAsia="標楷體" w:cstheme="minorHAnsi"/>
        </w:rPr>
        <w:t>執行</w:t>
      </w:r>
      <w:r w:rsidRPr="00DE6CAD">
        <w:rPr>
          <w:rFonts w:eastAsia="標楷體" w:cstheme="minorHAnsi"/>
        </w:rPr>
        <w:t>。</w:t>
      </w:r>
    </w:p>
    <w:p w:rsidR="00C93B0F" w:rsidRPr="00DE6CAD" w:rsidRDefault="00C93B0F" w:rsidP="00CD2BD0">
      <w:pPr>
        <w:spacing w:line="300" w:lineRule="exact"/>
        <w:ind w:leftChars="18" w:left="504" w:rightChars="-260" w:right="-624" w:hangingChars="192" w:hanging="461"/>
        <w:rPr>
          <w:rFonts w:eastAsia="標楷體" w:cstheme="minorHAnsi"/>
        </w:rPr>
      </w:pPr>
      <w:r w:rsidRPr="00DE6CAD">
        <w:rPr>
          <w:rFonts w:eastAsia="標楷體" w:cstheme="minorHAnsi"/>
        </w:rPr>
        <w:t>三、</w:t>
      </w:r>
      <w:r w:rsidR="00DE6CAD" w:rsidRPr="00DE6CAD">
        <w:rPr>
          <w:rFonts w:eastAsia="標楷體" w:cstheme="minorHAnsi"/>
        </w:rPr>
        <w:t>本</w:t>
      </w:r>
      <w:r w:rsidRPr="00DE6CAD">
        <w:rPr>
          <w:rFonts w:eastAsia="標楷體" w:cstheme="minorHAnsi"/>
        </w:rPr>
        <w:t>公司對可能威脅企業經營的不確定因素，</w:t>
      </w:r>
      <w:r w:rsidR="00B234F7" w:rsidRPr="00DE6CAD">
        <w:rPr>
          <w:rFonts w:eastAsia="標楷體" w:cstheme="minorHAnsi"/>
        </w:rPr>
        <w:t>應</w:t>
      </w:r>
      <w:r w:rsidRPr="00DE6CAD">
        <w:rPr>
          <w:rFonts w:eastAsia="標楷體" w:cstheme="minorHAnsi"/>
        </w:rPr>
        <w:t>召集相關單位商議，並視需要徵詢外部顧問意見，以</w:t>
      </w:r>
      <w:r w:rsidR="00B234F7" w:rsidRPr="00DE6CAD">
        <w:rPr>
          <w:rFonts w:eastAsia="標楷體" w:cstheme="minorHAnsi"/>
        </w:rPr>
        <w:t>利</w:t>
      </w:r>
      <w:r w:rsidRPr="00DE6CAD">
        <w:rPr>
          <w:rFonts w:eastAsia="標楷體" w:cstheme="minorHAnsi"/>
        </w:rPr>
        <w:t>評估風險及儘早提出</w:t>
      </w:r>
      <w:r w:rsidR="00B234F7" w:rsidRPr="00DE6CAD">
        <w:rPr>
          <w:rFonts w:eastAsia="標楷體" w:cstheme="minorHAnsi"/>
        </w:rPr>
        <w:t>風險控管</w:t>
      </w:r>
      <w:r w:rsidRPr="00DE6CAD">
        <w:rPr>
          <w:rFonts w:eastAsia="標楷體" w:cstheme="minorHAnsi"/>
        </w:rPr>
        <w:t>建議。</w:t>
      </w:r>
    </w:p>
    <w:p w:rsidR="00C93B0F" w:rsidRPr="00DE6CAD" w:rsidRDefault="00C93B0F" w:rsidP="00CD2BD0">
      <w:pPr>
        <w:spacing w:line="300" w:lineRule="exact"/>
        <w:ind w:leftChars="18" w:left="504" w:rightChars="-260" w:right="-624" w:hangingChars="192" w:hanging="461"/>
        <w:rPr>
          <w:rFonts w:eastAsia="標楷體" w:cstheme="minorHAnsi"/>
        </w:rPr>
      </w:pPr>
      <w:r w:rsidRPr="00DE6CAD">
        <w:rPr>
          <w:rFonts w:eastAsia="標楷體" w:cstheme="minorHAnsi"/>
        </w:rPr>
        <w:t>四、稽核室積極督導各執行單位遵循核決權限與相關管理辦法及程序，以確保全體員工的風險管理意識及執行力度。</w:t>
      </w:r>
    </w:p>
    <w:p w:rsidR="00C93B0F" w:rsidRPr="00DE6CAD" w:rsidRDefault="00C93B0F" w:rsidP="00CD2BD0">
      <w:pPr>
        <w:spacing w:line="300" w:lineRule="exact"/>
        <w:ind w:leftChars="18" w:left="504" w:rightChars="-260" w:right="-624" w:hangingChars="192" w:hanging="461"/>
        <w:rPr>
          <w:rFonts w:eastAsia="標楷體" w:cstheme="minorHAnsi"/>
        </w:rPr>
      </w:pPr>
      <w:r w:rsidRPr="00DE6CAD">
        <w:rPr>
          <w:rFonts w:eastAsia="標楷體" w:cstheme="minorHAnsi"/>
        </w:rPr>
        <w:t>五、</w:t>
      </w:r>
      <w:r w:rsidR="00DE6CAD" w:rsidRPr="00DE6CAD">
        <w:rPr>
          <w:rFonts w:eastAsia="標楷體" w:cstheme="minorHAnsi"/>
        </w:rPr>
        <w:t>本</w:t>
      </w:r>
      <w:r w:rsidRPr="00DE6CAD">
        <w:rPr>
          <w:rFonts w:eastAsia="標楷體" w:cstheme="minorHAnsi"/>
        </w:rPr>
        <w:t>公司須定期向內部及外部與風險事件相關之利害關係人溝通風險事件及風險應變計畫等資訊。</w:t>
      </w:r>
    </w:p>
    <w:p w:rsidR="00C93B0F" w:rsidRPr="00DE6CAD" w:rsidRDefault="00C93B0F" w:rsidP="00CD2BD0">
      <w:pPr>
        <w:spacing w:line="300" w:lineRule="exact"/>
        <w:ind w:leftChars="18" w:left="504" w:rightChars="-260" w:right="-624" w:hangingChars="192" w:hanging="461"/>
        <w:rPr>
          <w:rFonts w:eastAsia="標楷體" w:cstheme="minorHAnsi"/>
        </w:rPr>
      </w:pPr>
      <w:r w:rsidRPr="00DE6CAD">
        <w:rPr>
          <w:rFonts w:eastAsia="標楷體" w:cstheme="minorHAnsi"/>
        </w:rPr>
        <w:t>六、各項管理流程之審議及控制，除現行內部控制各項規定作業、公司相關辦法施行外，亦依照主管機關之相關規定辦理。</w:t>
      </w:r>
    </w:p>
    <w:p w:rsidR="00C93B0F" w:rsidRPr="00DE6CAD" w:rsidRDefault="00C93B0F" w:rsidP="00B11824">
      <w:pPr>
        <w:spacing w:beforeLines="50" w:before="180"/>
        <w:rPr>
          <w:rFonts w:eastAsia="標楷體" w:cstheme="minorHAnsi"/>
          <w:b/>
        </w:rPr>
      </w:pPr>
      <w:r w:rsidRPr="00DE6CAD">
        <w:rPr>
          <w:rFonts w:eastAsia="標楷體" w:cstheme="minorHAnsi"/>
          <w:b/>
        </w:rPr>
        <w:t>第</w:t>
      </w:r>
      <w:r w:rsidR="0008765C" w:rsidRPr="00DE6CAD">
        <w:rPr>
          <w:rFonts w:eastAsia="標楷體" w:cstheme="minorHAnsi"/>
          <w:b/>
        </w:rPr>
        <w:t>七</w:t>
      </w:r>
      <w:r w:rsidRPr="00DE6CAD">
        <w:rPr>
          <w:rFonts w:eastAsia="標楷體" w:cstheme="minorHAnsi"/>
          <w:b/>
        </w:rPr>
        <w:t>條</w:t>
      </w:r>
      <w:r w:rsidRPr="00DE6CAD">
        <w:rPr>
          <w:rFonts w:eastAsia="標楷體" w:cstheme="minorHAnsi"/>
          <w:b/>
        </w:rPr>
        <w:t xml:space="preserve"> </w:t>
      </w:r>
      <w:r w:rsidRPr="00DE6CAD">
        <w:rPr>
          <w:rFonts w:eastAsia="標楷體" w:cstheme="minorHAnsi"/>
          <w:b/>
        </w:rPr>
        <w:t>溝通</w:t>
      </w:r>
    </w:p>
    <w:p w:rsidR="00C93B0F" w:rsidRPr="00DE6CAD" w:rsidRDefault="007715BC" w:rsidP="00465898">
      <w:pPr>
        <w:spacing w:line="300" w:lineRule="exact"/>
        <w:ind w:leftChars="18" w:left="504" w:rightChars="-260" w:right="-624" w:hangingChars="192" w:hanging="461"/>
        <w:rPr>
          <w:rFonts w:eastAsia="標楷體" w:cstheme="minorHAnsi"/>
        </w:rPr>
      </w:pPr>
      <w:r w:rsidRPr="00DE6CAD">
        <w:rPr>
          <w:rFonts w:eastAsia="標楷體" w:cstheme="minorHAnsi"/>
          <w:lang w:eastAsia="zh-HK"/>
        </w:rPr>
        <w:t>一</w:t>
      </w:r>
      <w:r w:rsidRPr="00DE6CAD">
        <w:rPr>
          <w:rFonts w:eastAsia="標楷體" w:cstheme="minorHAnsi"/>
        </w:rPr>
        <w:t>、</w:t>
      </w:r>
      <w:r w:rsidR="00C93B0F" w:rsidRPr="00DE6CAD">
        <w:rPr>
          <w:rFonts w:eastAsia="標楷體" w:cstheme="minorHAnsi"/>
        </w:rPr>
        <w:t>本公司風險管理作業除本辦法另有規定外，依本公司內部控制各項規定作業及主管機關之相關政策及程序辦理。</w:t>
      </w:r>
    </w:p>
    <w:p w:rsidR="0008765C" w:rsidRPr="00DE6CAD" w:rsidRDefault="007715BC" w:rsidP="00465898">
      <w:pPr>
        <w:spacing w:line="300" w:lineRule="exact"/>
        <w:ind w:leftChars="18" w:left="504" w:rightChars="-260" w:right="-624" w:hangingChars="192" w:hanging="461"/>
        <w:rPr>
          <w:rFonts w:eastAsia="標楷體" w:cstheme="minorHAnsi"/>
        </w:rPr>
      </w:pPr>
      <w:r w:rsidRPr="00DE6CAD">
        <w:rPr>
          <w:rFonts w:eastAsia="標楷體" w:cstheme="minorHAnsi"/>
          <w:lang w:eastAsia="zh-HK"/>
        </w:rPr>
        <w:t>二</w:t>
      </w:r>
      <w:r w:rsidRPr="00DE6CAD">
        <w:rPr>
          <w:rFonts w:eastAsia="標楷體" w:cstheme="minorHAnsi"/>
        </w:rPr>
        <w:t>、</w:t>
      </w:r>
      <w:r w:rsidR="0008765C" w:rsidRPr="00DE6CAD">
        <w:rPr>
          <w:rFonts w:eastAsia="標楷體" w:cstheme="minorHAnsi"/>
        </w:rPr>
        <w:t>為強化本公司各單位主管及員工瞭解本公司風險管理的政策、流程，以及風險辨識等事項，本公司應不定期舉辦風險管理教育訓練、研討會或說明會。</w:t>
      </w:r>
    </w:p>
    <w:p w:rsidR="00A9532F" w:rsidRPr="00DE6CAD" w:rsidRDefault="00AB0D42" w:rsidP="00B11824">
      <w:pPr>
        <w:spacing w:beforeLines="50" w:before="180"/>
        <w:rPr>
          <w:rFonts w:eastAsia="標楷體" w:cstheme="minorHAnsi"/>
          <w:b/>
        </w:rPr>
      </w:pPr>
      <w:r w:rsidRPr="00DE6CAD">
        <w:rPr>
          <w:rFonts w:eastAsia="標楷體" w:cstheme="minorHAnsi"/>
          <w:b/>
        </w:rPr>
        <w:t>第八條</w:t>
      </w:r>
      <w:r w:rsidRPr="00DE6CAD">
        <w:rPr>
          <w:rFonts w:eastAsia="標楷體" w:cstheme="minorHAnsi"/>
          <w:b/>
        </w:rPr>
        <w:t xml:space="preserve"> </w:t>
      </w:r>
      <w:r w:rsidR="00427309" w:rsidRPr="00DE6CAD">
        <w:rPr>
          <w:rFonts w:eastAsia="標楷體" w:cstheme="minorHAnsi"/>
          <w:b/>
        </w:rPr>
        <w:t>各項風險</w:t>
      </w:r>
      <w:r w:rsidR="00C00207" w:rsidRPr="00DE6CAD">
        <w:rPr>
          <w:rFonts w:eastAsia="標楷體" w:cstheme="minorHAnsi"/>
          <w:b/>
        </w:rPr>
        <w:t>類型</w:t>
      </w:r>
      <w:r w:rsidR="00427309" w:rsidRPr="00DE6CAD">
        <w:rPr>
          <w:rFonts w:eastAsia="標楷體" w:cstheme="minorHAnsi"/>
          <w:b/>
        </w:rPr>
        <w:t>主要</w:t>
      </w:r>
      <w:r w:rsidR="00C00207" w:rsidRPr="00DE6CAD">
        <w:rPr>
          <w:rFonts w:eastAsia="標楷體" w:cstheme="minorHAnsi"/>
          <w:b/>
        </w:rPr>
        <w:t>權責單位</w:t>
      </w:r>
    </w:p>
    <w:tbl>
      <w:tblPr>
        <w:tblStyle w:val="a7"/>
        <w:tblW w:w="0" w:type="auto"/>
        <w:tblLook w:val="04A0" w:firstRow="1" w:lastRow="0" w:firstColumn="1" w:lastColumn="0" w:noHBand="0" w:noVBand="1"/>
      </w:tblPr>
      <w:tblGrid>
        <w:gridCol w:w="2186"/>
        <w:gridCol w:w="2884"/>
        <w:gridCol w:w="1489"/>
        <w:gridCol w:w="2187"/>
      </w:tblGrid>
      <w:tr w:rsidR="00195E33" w:rsidRPr="009B5EE7" w:rsidTr="001E20E5">
        <w:tc>
          <w:tcPr>
            <w:tcW w:w="2186" w:type="dxa"/>
          </w:tcPr>
          <w:p w:rsidR="00195E33" w:rsidRPr="009B5EE7" w:rsidRDefault="00195E33" w:rsidP="009B5EE7">
            <w:pPr>
              <w:ind w:left="475" w:hangingChars="198" w:hanging="475"/>
              <w:jc w:val="center"/>
              <w:rPr>
                <w:rFonts w:eastAsia="標楷體" w:cstheme="minorHAnsi"/>
                <w:b/>
              </w:rPr>
            </w:pPr>
            <w:r w:rsidRPr="009B5EE7">
              <w:rPr>
                <w:rFonts w:eastAsia="標楷體" w:cstheme="minorHAnsi"/>
              </w:rPr>
              <w:t>風險類型</w:t>
            </w:r>
          </w:p>
        </w:tc>
        <w:tc>
          <w:tcPr>
            <w:tcW w:w="2884" w:type="dxa"/>
          </w:tcPr>
          <w:p w:rsidR="00195E33" w:rsidRPr="009B5EE7" w:rsidRDefault="00195E33" w:rsidP="009B5EE7">
            <w:pPr>
              <w:ind w:left="475" w:hangingChars="198" w:hanging="475"/>
              <w:jc w:val="center"/>
              <w:rPr>
                <w:rFonts w:eastAsia="標楷體" w:cstheme="minorHAnsi"/>
                <w:b/>
              </w:rPr>
            </w:pPr>
            <w:r w:rsidRPr="009B5EE7">
              <w:rPr>
                <w:rFonts w:eastAsia="標楷體" w:cstheme="minorHAnsi"/>
              </w:rPr>
              <w:t>風險</w:t>
            </w:r>
            <w:r w:rsidRPr="009B5EE7">
              <w:rPr>
                <w:rFonts w:eastAsia="標楷體" w:cstheme="minorHAnsi"/>
                <w:lang w:eastAsia="zh-HK"/>
              </w:rPr>
              <w:t>因子</w:t>
            </w:r>
          </w:p>
        </w:tc>
        <w:tc>
          <w:tcPr>
            <w:tcW w:w="3676" w:type="dxa"/>
            <w:gridSpan w:val="2"/>
          </w:tcPr>
          <w:p w:rsidR="00195E33" w:rsidRPr="009B5EE7" w:rsidRDefault="00195E33" w:rsidP="009B5EE7">
            <w:pPr>
              <w:ind w:left="475" w:hangingChars="198" w:hanging="475"/>
              <w:jc w:val="center"/>
              <w:rPr>
                <w:rFonts w:eastAsia="標楷體" w:cstheme="minorHAnsi"/>
                <w:b/>
              </w:rPr>
            </w:pPr>
            <w:r w:rsidRPr="009B5EE7">
              <w:rPr>
                <w:rFonts w:eastAsia="標楷體" w:cstheme="minorHAnsi"/>
              </w:rPr>
              <w:t>權責單位</w:t>
            </w:r>
          </w:p>
        </w:tc>
      </w:tr>
      <w:tr w:rsidR="001E20E5" w:rsidRPr="009B5EE7" w:rsidTr="00B11824">
        <w:tc>
          <w:tcPr>
            <w:tcW w:w="2186" w:type="dxa"/>
            <w:vMerge w:val="restart"/>
            <w:vAlign w:val="center"/>
          </w:tcPr>
          <w:p w:rsidR="001E20E5" w:rsidRPr="009B5EE7" w:rsidRDefault="001E20E5" w:rsidP="00195E33">
            <w:pPr>
              <w:rPr>
                <w:rFonts w:eastAsia="標楷體" w:cstheme="minorHAnsi"/>
              </w:rPr>
            </w:pPr>
            <w:r w:rsidRPr="009B5EE7">
              <w:rPr>
                <w:rFonts w:eastAsia="標楷體" w:cstheme="minorHAnsi"/>
                <w:lang w:eastAsia="zh-HK"/>
              </w:rPr>
              <w:t>一</w:t>
            </w:r>
            <w:r w:rsidRPr="009B5EE7">
              <w:rPr>
                <w:rFonts w:eastAsia="標楷體" w:cstheme="minorHAnsi"/>
              </w:rPr>
              <w:t>、</w:t>
            </w:r>
            <w:r w:rsidRPr="009B5EE7">
              <w:rPr>
                <w:rFonts w:eastAsia="標楷體" w:cstheme="minorHAnsi"/>
                <w:lang w:eastAsia="zh-HK"/>
              </w:rPr>
              <w:t>策略風險</w:t>
            </w:r>
          </w:p>
        </w:tc>
        <w:tc>
          <w:tcPr>
            <w:tcW w:w="2884" w:type="dxa"/>
          </w:tcPr>
          <w:p w:rsidR="001E20E5" w:rsidRPr="009B5EE7" w:rsidRDefault="001E20E5" w:rsidP="001E20E5">
            <w:pPr>
              <w:pStyle w:val="a8"/>
              <w:spacing w:line="240" w:lineRule="exact"/>
              <w:ind w:leftChars="0" w:left="126"/>
              <w:jc w:val="both"/>
              <w:rPr>
                <w:rFonts w:eastAsia="標楷體" w:cstheme="minorHAnsi"/>
                <w:b/>
              </w:rPr>
            </w:pPr>
            <w:r w:rsidRPr="009B5EE7">
              <w:rPr>
                <w:rFonts w:eastAsia="標楷體" w:cstheme="minorHAnsi"/>
              </w:rPr>
              <w:t>1.</w:t>
            </w:r>
            <w:r w:rsidRPr="009B5EE7">
              <w:rPr>
                <w:rFonts w:eastAsia="標楷體" w:cstheme="minorHAnsi"/>
                <w:lang w:eastAsia="zh-HK"/>
              </w:rPr>
              <w:t>產業變化</w:t>
            </w:r>
          </w:p>
        </w:tc>
        <w:tc>
          <w:tcPr>
            <w:tcW w:w="3676" w:type="dxa"/>
            <w:gridSpan w:val="2"/>
            <w:vMerge w:val="restart"/>
            <w:vAlign w:val="center"/>
          </w:tcPr>
          <w:p w:rsidR="001E20E5" w:rsidRPr="009B5EE7" w:rsidRDefault="001E20E5" w:rsidP="001E20E5">
            <w:pPr>
              <w:jc w:val="center"/>
              <w:rPr>
                <w:rFonts w:eastAsia="標楷體" w:cstheme="minorHAnsi"/>
              </w:rPr>
            </w:pPr>
            <w:r w:rsidRPr="009B5EE7">
              <w:rPr>
                <w:rFonts w:eastAsia="標楷體" w:cstheme="minorHAnsi"/>
                <w:lang w:eastAsia="zh-HK"/>
              </w:rPr>
              <w:t>總經理及營運長</w:t>
            </w: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B11824">
            <w:pPr>
              <w:pStyle w:val="a8"/>
              <w:spacing w:line="240" w:lineRule="exact"/>
              <w:ind w:leftChars="0" w:left="125"/>
              <w:jc w:val="both"/>
              <w:rPr>
                <w:rFonts w:eastAsia="標楷體" w:cstheme="minorHAnsi"/>
                <w:lang w:eastAsia="zh-HK"/>
              </w:rPr>
            </w:pPr>
            <w:r w:rsidRPr="009B5EE7">
              <w:rPr>
                <w:rFonts w:eastAsia="標楷體" w:cstheme="minorHAnsi"/>
                <w:lang w:eastAsia="zh-HK"/>
              </w:rPr>
              <w:t>2.</w:t>
            </w:r>
            <w:r w:rsidRPr="009B5EE7">
              <w:rPr>
                <w:rFonts w:eastAsia="標楷體" w:cstheme="minorHAnsi"/>
                <w:lang w:eastAsia="zh-HK"/>
              </w:rPr>
              <w:t>科技變化</w:t>
            </w:r>
          </w:p>
        </w:tc>
        <w:tc>
          <w:tcPr>
            <w:tcW w:w="3676" w:type="dxa"/>
            <w:gridSpan w:val="2"/>
            <w:vMerge/>
            <w:vAlign w:val="center"/>
          </w:tcPr>
          <w:p w:rsidR="001E20E5" w:rsidRPr="009B5EE7" w:rsidRDefault="001E20E5" w:rsidP="00195E33">
            <w:pPr>
              <w:rPr>
                <w:rFonts w:eastAsia="標楷體" w:cstheme="minorHAnsi"/>
                <w:b/>
              </w:rPr>
            </w:pP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1E20E5">
            <w:pPr>
              <w:pStyle w:val="a8"/>
              <w:spacing w:line="240" w:lineRule="exact"/>
              <w:ind w:leftChars="0" w:left="126"/>
              <w:jc w:val="both"/>
              <w:rPr>
                <w:rFonts w:eastAsia="標楷體" w:cstheme="minorHAnsi"/>
                <w:lang w:eastAsia="zh-HK"/>
              </w:rPr>
            </w:pPr>
            <w:r w:rsidRPr="009B5EE7">
              <w:rPr>
                <w:rFonts w:eastAsia="標楷體" w:cstheme="minorHAnsi"/>
                <w:lang w:eastAsia="zh-HK"/>
              </w:rPr>
              <w:t>3.</w:t>
            </w:r>
            <w:r w:rsidRPr="009B5EE7">
              <w:rPr>
                <w:rFonts w:eastAsia="標楷體" w:cstheme="minorHAnsi"/>
                <w:lang w:eastAsia="zh-HK"/>
              </w:rPr>
              <w:t>商業模式訂定</w:t>
            </w:r>
          </w:p>
        </w:tc>
        <w:tc>
          <w:tcPr>
            <w:tcW w:w="3676" w:type="dxa"/>
            <w:gridSpan w:val="2"/>
            <w:vMerge/>
            <w:vAlign w:val="center"/>
          </w:tcPr>
          <w:p w:rsidR="001E20E5" w:rsidRPr="009B5EE7" w:rsidRDefault="001E20E5" w:rsidP="00195E33">
            <w:pPr>
              <w:rPr>
                <w:rFonts w:eastAsia="標楷體" w:cstheme="minorHAnsi"/>
                <w:b/>
              </w:rPr>
            </w:pP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1E20E5">
            <w:pPr>
              <w:pStyle w:val="a8"/>
              <w:spacing w:line="240" w:lineRule="exact"/>
              <w:ind w:leftChars="0" w:left="126"/>
              <w:jc w:val="both"/>
              <w:rPr>
                <w:rFonts w:eastAsia="標楷體" w:cstheme="minorHAnsi"/>
                <w:lang w:eastAsia="zh-HK"/>
              </w:rPr>
            </w:pPr>
            <w:r w:rsidRPr="009B5EE7">
              <w:rPr>
                <w:rFonts w:eastAsia="標楷體" w:cstheme="minorHAnsi"/>
                <w:lang w:eastAsia="zh-HK"/>
              </w:rPr>
              <w:t>4.</w:t>
            </w:r>
            <w:r w:rsidRPr="009B5EE7">
              <w:rPr>
                <w:rFonts w:eastAsia="標楷體" w:cstheme="minorHAnsi"/>
                <w:lang w:eastAsia="zh-HK"/>
              </w:rPr>
              <w:t>組織架構因應能力</w:t>
            </w:r>
          </w:p>
        </w:tc>
        <w:tc>
          <w:tcPr>
            <w:tcW w:w="3676" w:type="dxa"/>
            <w:gridSpan w:val="2"/>
            <w:vMerge/>
            <w:vAlign w:val="center"/>
          </w:tcPr>
          <w:p w:rsidR="001E20E5" w:rsidRPr="009B5EE7" w:rsidRDefault="001E20E5" w:rsidP="00195E33">
            <w:pPr>
              <w:rPr>
                <w:rFonts w:eastAsia="標楷體" w:cstheme="minorHAnsi"/>
                <w:b/>
              </w:rPr>
            </w:pPr>
          </w:p>
        </w:tc>
      </w:tr>
      <w:tr w:rsidR="001E20E5" w:rsidRPr="009B5EE7" w:rsidTr="00B11824">
        <w:trPr>
          <w:trHeight w:val="186"/>
        </w:trPr>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1E20E5">
            <w:pPr>
              <w:pStyle w:val="a8"/>
              <w:spacing w:line="240" w:lineRule="exact"/>
              <w:ind w:leftChars="0" w:left="126"/>
              <w:jc w:val="both"/>
              <w:rPr>
                <w:rFonts w:eastAsia="標楷體" w:cstheme="minorHAnsi"/>
                <w:lang w:eastAsia="zh-HK"/>
              </w:rPr>
            </w:pPr>
            <w:r w:rsidRPr="009B5EE7">
              <w:rPr>
                <w:rFonts w:eastAsia="標楷體" w:cstheme="minorHAnsi"/>
                <w:lang w:eastAsia="zh-HK"/>
              </w:rPr>
              <w:t>5.</w:t>
            </w:r>
            <w:r w:rsidRPr="009B5EE7">
              <w:rPr>
                <w:rFonts w:eastAsia="標楷體" w:cstheme="minorHAnsi"/>
                <w:lang w:eastAsia="zh-HK"/>
              </w:rPr>
              <w:t>策略投資</w:t>
            </w:r>
          </w:p>
        </w:tc>
        <w:tc>
          <w:tcPr>
            <w:tcW w:w="3676" w:type="dxa"/>
            <w:gridSpan w:val="2"/>
            <w:vMerge/>
            <w:vAlign w:val="center"/>
          </w:tcPr>
          <w:p w:rsidR="001E20E5" w:rsidRPr="009B5EE7" w:rsidRDefault="001E20E5" w:rsidP="00195E33">
            <w:pPr>
              <w:rPr>
                <w:rFonts w:eastAsia="標楷體" w:cstheme="minorHAnsi"/>
                <w:b/>
              </w:rPr>
            </w:pPr>
          </w:p>
        </w:tc>
      </w:tr>
      <w:tr w:rsidR="001E20E5" w:rsidRPr="009B5EE7" w:rsidTr="00B11824">
        <w:trPr>
          <w:trHeight w:val="217"/>
        </w:trPr>
        <w:tc>
          <w:tcPr>
            <w:tcW w:w="2186" w:type="dxa"/>
            <w:vMerge w:val="restart"/>
            <w:vAlign w:val="center"/>
          </w:tcPr>
          <w:p w:rsidR="001E20E5" w:rsidRPr="009B5EE7" w:rsidRDefault="001E20E5" w:rsidP="00195E33">
            <w:pPr>
              <w:rPr>
                <w:rFonts w:eastAsia="標楷體" w:cstheme="minorHAnsi"/>
                <w:b/>
              </w:rPr>
            </w:pPr>
            <w:r w:rsidRPr="009B5EE7">
              <w:rPr>
                <w:rFonts w:eastAsia="標楷體" w:cstheme="minorHAnsi"/>
                <w:lang w:eastAsia="zh-HK"/>
              </w:rPr>
              <w:t>二</w:t>
            </w:r>
            <w:r w:rsidRPr="009B5EE7">
              <w:rPr>
                <w:rFonts w:eastAsia="標楷體" w:cstheme="minorHAnsi"/>
              </w:rPr>
              <w:t>、</w:t>
            </w:r>
            <w:r w:rsidRPr="009B5EE7">
              <w:rPr>
                <w:rFonts w:eastAsia="標楷體" w:cstheme="minorHAnsi"/>
                <w:lang w:eastAsia="zh-HK"/>
              </w:rPr>
              <w:t>營運風險</w:t>
            </w: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rPr>
              <w:t>1.</w:t>
            </w:r>
            <w:r w:rsidRPr="009B5EE7">
              <w:rPr>
                <w:rFonts w:eastAsia="標楷體" w:cstheme="minorHAnsi"/>
                <w:lang w:eastAsia="zh-HK"/>
              </w:rPr>
              <w:t>市場需求及供應能力</w:t>
            </w:r>
          </w:p>
        </w:tc>
        <w:tc>
          <w:tcPr>
            <w:tcW w:w="1489" w:type="dxa"/>
            <w:vMerge w:val="restart"/>
            <w:vAlign w:val="center"/>
          </w:tcPr>
          <w:p w:rsidR="001E20E5" w:rsidRPr="009B5EE7" w:rsidRDefault="001E20E5" w:rsidP="00B11824">
            <w:pPr>
              <w:spacing w:line="240" w:lineRule="exact"/>
              <w:jc w:val="center"/>
              <w:rPr>
                <w:rFonts w:eastAsia="標楷體" w:cstheme="minorHAnsi"/>
                <w:lang w:eastAsia="zh-HK"/>
              </w:rPr>
            </w:pPr>
            <w:r w:rsidRPr="009B5EE7">
              <w:rPr>
                <w:rFonts w:eastAsia="標楷體" w:cstheme="minorHAnsi"/>
                <w:lang w:eastAsia="zh-HK"/>
              </w:rPr>
              <w:t>總經理</w:t>
            </w:r>
          </w:p>
          <w:p w:rsidR="001E20E5" w:rsidRPr="009B5EE7" w:rsidRDefault="001E20E5" w:rsidP="00B11824">
            <w:pPr>
              <w:spacing w:line="240" w:lineRule="exact"/>
              <w:jc w:val="center"/>
              <w:rPr>
                <w:rFonts w:eastAsia="標楷體" w:cstheme="minorHAnsi"/>
                <w:b/>
              </w:rPr>
            </w:pPr>
            <w:r w:rsidRPr="009B5EE7">
              <w:rPr>
                <w:rFonts w:eastAsia="標楷體" w:cstheme="minorHAnsi"/>
                <w:lang w:eastAsia="zh-HK"/>
              </w:rPr>
              <w:t>辦公室</w:t>
            </w: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各事業單位</w:t>
            </w: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rPr>
              <w:t>2.</w:t>
            </w:r>
            <w:r w:rsidRPr="009B5EE7">
              <w:rPr>
                <w:rFonts w:eastAsia="標楷體" w:cstheme="minorHAnsi"/>
                <w:lang w:eastAsia="zh-HK"/>
              </w:rPr>
              <w:t>企業持續營運風</w:t>
            </w:r>
            <w:r w:rsidR="00B11824" w:rsidRPr="009B5EE7">
              <w:rPr>
                <w:rFonts w:eastAsia="標楷體" w:cstheme="minorHAnsi"/>
                <w:lang w:eastAsia="zh-HK"/>
              </w:rPr>
              <w:t>險</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各事業單位</w:t>
            </w: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rPr>
              <w:t>3.</w:t>
            </w:r>
            <w:r w:rsidRPr="009B5EE7">
              <w:rPr>
                <w:rFonts w:eastAsia="標楷體" w:cstheme="minorHAnsi"/>
                <w:lang w:eastAsia="zh-HK"/>
              </w:rPr>
              <w:t>資訊安全</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資訊部</w:t>
            </w: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594FE2">
            <w:pPr>
              <w:pStyle w:val="a8"/>
              <w:spacing w:line="240" w:lineRule="exact"/>
              <w:ind w:leftChars="0" w:left="126"/>
              <w:jc w:val="both"/>
              <w:rPr>
                <w:rFonts w:eastAsia="標楷體" w:cstheme="minorHAnsi"/>
                <w:lang w:eastAsia="zh-HK"/>
              </w:rPr>
            </w:pPr>
            <w:r w:rsidRPr="009B5EE7">
              <w:rPr>
                <w:rFonts w:eastAsia="標楷體" w:cstheme="minorHAnsi"/>
              </w:rPr>
              <w:t>4.</w:t>
            </w:r>
            <w:r w:rsidRPr="009B5EE7">
              <w:rPr>
                <w:rFonts w:eastAsia="標楷體" w:cstheme="minorHAnsi"/>
                <w:lang w:eastAsia="zh-HK"/>
              </w:rPr>
              <w:t>供應</w:t>
            </w:r>
            <w:r w:rsidR="00DD18C8" w:rsidRPr="009B5EE7">
              <w:rPr>
                <w:rFonts w:eastAsia="標楷體" w:cstheme="minorHAnsi"/>
                <w:lang w:eastAsia="zh-HK"/>
              </w:rPr>
              <w:t>鏈</w:t>
            </w:r>
            <w:r w:rsidRPr="009B5EE7">
              <w:rPr>
                <w:rFonts w:eastAsia="標楷體" w:cstheme="minorHAnsi"/>
                <w:lang w:eastAsia="zh-HK"/>
              </w:rPr>
              <w:t>管理</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各事業單位</w:t>
            </w:r>
          </w:p>
        </w:tc>
      </w:tr>
      <w:tr w:rsidR="001E20E5" w:rsidRPr="009B5EE7" w:rsidTr="00B11824">
        <w:tc>
          <w:tcPr>
            <w:tcW w:w="2186" w:type="dxa"/>
            <w:vMerge/>
            <w:vAlign w:val="center"/>
          </w:tcPr>
          <w:p w:rsidR="001E20E5" w:rsidRPr="009B5EE7" w:rsidRDefault="001E20E5" w:rsidP="00195E33">
            <w:pPr>
              <w:rPr>
                <w:rFonts w:eastAsia="標楷體" w:cstheme="minorHAnsi"/>
                <w:b/>
              </w:rPr>
            </w:pP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5.</w:t>
            </w:r>
            <w:r w:rsidRPr="009B5EE7">
              <w:rPr>
                <w:rFonts w:eastAsia="標楷體" w:cstheme="minorHAnsi"/>
                <w:lang w:eastAsia="zh-HK"/>
              </w:rPr>
              <w:t>客戶關係管理</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各事業單位</w:t>
            </w:r>
          </w:p>
        </w:tc>
      </w:tr>
      <w:tr w:rsidR="001E20E5" w:rsidRPr="009B5EE7" w:rsidTr="00B11824">
        <w:tc>
          <w:tcPr>
            <w:tcW w:w="2186" w:type="dxa"/>
            <w:vMerge/>
            <w:vAlign w:val="center"/>
          </w:tcPr>
          <w:p w:rsidR="001E20E5" w:rsidRPr="009B5EE7" w:rsidRDefault="001E20E5" w:rsidP="001E20E5">
            <w:pPr>
              <w:rPr>
                <w:rFonts w:eastAsia="標楷體" w:cstheme="minorHAnsi"/>
                <w:b/>
              </w:rPr>
            </w:pP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6.</w:t>
            </w:r>
            <w:r w:rsidRPr="009B5EE7">
              <w:rPr>
                <w:rFonts w:eastAsia="標楷體" w:cstheme="minorHAnsi"/>
                <w:lang w:eastAsia="zh-HK"/>
              </w:rPr>
              <w:t>智慧財產管理</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各事業單位</w:t>
            </w:r>
          </w:p>
        </w:tc>
      </w:tr>
      <w:tr w:rsidR="001E20E5" w:rsidRPr="009B5EE7" w:rsidTr="00B11824">
        <w:tc>
          <w:tcPr>
            <w:tcW w:w="2186" w:type="dxa"/>
            <w:vMerge/>
            <w:vAlign w:val="center"/>
          </w:tcPr>
          <w:p w:rsidR="001E20E5" w:rsidRPr="009B5EE7" w:rsidRDefault="001E20E5" w:rsidP="001E20E5">
            <w:pPr>
              <w:rPr>
                <w:rFonts w:eastAsia="標楷體" w:cstheme="minorHAnsi"/>
                <w:b/>
              </w:rPr>
            </w:pPr>
            <w:r w:rsidRPr="009B5EE7">
              <w:rPr>
                <w:rFonts w:eastAsia="標楷體" w:cstheme="minorHAnsi"/>
                <w:lang w:eastAsia="zh-HK"/>
              </w:rPr>
              <w:t>行</w:t>
            </w: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7.</w:t>
            </w:r>
            <w:r w:rsidRPr="009B5EE7">
              <w:rPr>
                <w:rFonts w:eastAsia="標楷體" w:cstheme="minorHAnsi"/>
                <w:lang w:eastAsia="zh-HK"/>
              </w:rPr>
              <w:t>企業品牌形象</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rPr>
            </w:pPr>
            <w:r w:rsidRPr="009B5EE7">
              <w:rPr>
                <w:rFonts w:eastAsia="標楷體" w:cstheme="minorHAnsi"/>
                <w:lang w:eastAsia="zh-HK"/>
              </w:rPr>
              <w:t>行銷部</w:t>
            </w:r>
          </w:p>
        </w:tc>
      </w:tr>
      <w:tr w:rsidR="001E20E5" w:rsidRPr="009B5EE7" w:rsidTr="00B11824">
        <w:tc>
          <w:tcPr>
            <w:tcW w:w="2186" w:type="dxa"/>
            <w:vMerge/>
            <w:vAlign w:val="center"/>
          </w:tcPr>
          <w:p w:rsidR="001E20E5" w:rsidRPr="009B5EE7" w:rsidRDefault="001E20E5" w:rsidP="001E20E5">
            <w:pPr>
              <w:rPr>
                <w:rFonts w:eastAsia="標楷體" w:cstheme="minorHAnsi"/>
                <w:b/>
              </w:rPr>
            </w:pPr>
          </w:p>
        </w:tc>
        <w:tc>
          <w:tcPr>
            <w:tcW w:w="2884" w:type="dxa"/>
          </w:tcPr>
          <w:p w:rsidR="001E20E5" w:rsidRPr="009B5EE7" w:rsidRDefault="001E20E5"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8.</w:t>
            </w:r>
            <w:r w:rsidRPr="009B5EE7">
              <w:rPr>
                <w:rFonts w:eastAsia="標楷體" w:cstheme="minorHAnsi"/>
                <w:lang w:eastAsia="zh-HK"/>
              </w:rPr>
              <w:t>人力資源管理</w:t>
            </w:r>
          </w:p>
        </w:tc>
        <w:tc>
          <w:tcPr>
            <w:tcW w:w="1489" w:type="dxa"/>
            <w:vMerge/>
          </w:tcPr>
          <w:p w:rsidR="001E20E5" w:rsidRPr="009B5EE7" w:rsidRDefault="001E20E5" w:rsidP="00B11824">
            <w:pPr>
              <w:spacing w:line="240" w:lineRule="exact"/>
              <w:rPr>
                <w:rFonts w:eastAsia="標楷體" w:cstheme="minorHAnsi"/>
                <w:b/>
              </w:rPr>
            </w:pPr>
          </w:p>
        </w:tc>
        <w:tc>
          <w:tcPr>
            <w:tcW w:w="2187" w:type="dxa"/>
            <w:vAlign w:val="center"/>
          </w:tcPr>
          <w:p w:rsidR="001E20E5" w:rsidRPr="009B5EE7" w:rsidRDefault="001E20E5" w:rsidP="00B11824">
            <w:pPr>
              <w:spacing w:line="240" w:lineRule="exact"/>
              <w:rPr>
                <w:rFonts w:eastAsia="標楷體" w:cstheme="minorHAnsi"/>
                <w:b/>
              </w:rPr>
            </w:pPr>
            <w:r w:rsidRPr="009B5EE7">
              <w:rPr>
                <w:rFonts w:eastAsia="標楷體" w:cstheme="minorHAnsi"/>
                <w:lang w:eastAsia="zh-HK"/>
              </w:rPr>
              <w:t>人力資源單位</w:t>
            </w:r>
          </w:p>
        </w:tc>
      </w:tr>
      <w:tr w:rsidR="00B11824" w:rsidRPr="009B5EE7" w:rsidTr="00B11824">
        <w:tc>
          <w:tcPr>
            <w:tcW w:w="2186" w:type="dxa"/>
            <w:vMerge w:val="restart"/>
            <w:vAlign w:val="center"/>
          </w:tcPr>
          <w:p w:rsidR="00B11824" w:rsidRPr="009B5EE7" w:rsidRDefault="00B11824" w:rsidP="00B11824">
            <w:pPr>
              <w:pStyle w:val="a8"/>
              <w:ind w:leftChars="0" w:left="0"/>
              <w:rPr>
                <w:rFonts w:eastAsia="標楷體" w:cstheme="minorHAnsi"/>
                <w:b/>
              </w:rPr>
            </w:pPr>
            <w:r w:rsidRPr="009B5EE7">
              <w:rPr>
                <w:rFonts w:eastAsia="標楷體" w:cstheme="minorHAnsi"/>
                <w:lang w:eastAsia="zh-HK"/>
              </w:rPr>
              <w:t>三</w:t>
            </w:r>
            <w:r w:rsidRPr="009B5EE7">
              <w:rPr>
                <w:rFonts w:eastAsia="標楷體" w:cstheme="minorHAnsi"/>
              </w:rPr>
              <w:t>、財務風險</w:t>
            </w:r>
          </w:p>
        </w:tc>
        <w:tc>
          <w:tcPr>
            <w:tcW w:w="2884" w:type="dxa"/>
          </w:tcPr>
          <w:p w:rsidR="00B11824" w:rsidRPr="009B5EE7" w:rsidRDefault="00B11824"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1.</w:t>
            </w:r>
            <w:r w:rsidRPr="009B5EE7">
              <w:rPr>
                <w:rFonts w:eastAsia="標楷體" w:cstheme="minorHAnsi"/>
                <w:lang w:eastAsia="zh-HK"/>
              </w:rPr>
              <w:t>利率、匯率</w:t>
            </w:r>
          </w:p>
        </w:tc>
        <w:tc>
          <w:tcPr>
            <w:tcW w:w="3676" w:type="dxa"/>
            <w:gridSpan w:val="2"/>
            <w:vMerge w:val="restart"/>
            <w:vAlign w:val="center"/>
          </w:tcPr>
          <w:p w:rsidR="00B11824" w:rsidRPr="009B5EE7" w:rsidRDefault="00B11824" w:rsidP="00B11824">
            <w:pPr>
              <w:jc w:val="center"/>
              <w:rPr>
                <w:rFonts w:eastAsia="標楷體" w:cstheme="minorHAnsi"/>
                <w:b/>
              </w:rPr>
            </w:pPr>
            <w:r w:rsidRPr="009B5EE7">
              <w:rPr>
                <w:rFonts w:eastAsia="標楷體" w:cstheme="minorHAnsi"/>
                <w:lang w:eastAsia="zh-HK"/>
              </w:rPr>
              <w:t>財務部</w:t>
            </w:r>
          </w:p>
        </w:tc>
      </w:tr>
      <w:tr w:rsidR="00B11824" w:rsidRPr="009B5EE7" w:rsidTr="00B11824">
        <w:tc>
          <w:tcPr>
            <w:tcW w:w="2186" w:type="dxa"/>
            <w:vMerge/>
            <w:vAlign w:val="center"/>
          </w:tcPr>
          <w:p w:rsidR="00B11824" w:rsidRPr="009B5EE7" w:rsidRDefault="00B11824" w:rsidP="001E20E5">
            <w:pPr>
              <w:rPr>
                <w:rFonts w:eastAsia="標楷體" w:cstheme="minorHAnsi"/>
                <w:b/>
              </w:rPr>
            </w:pPr>
          </w:p>
        </w:tc>
        <w:tc>
          <w:tcPr>
            <w:tcW w:w="2884" w:type="dxa"/>
          </w:tcPr>
          <w:p w:rsidR="00B11824" w:rsidRPr="009B5EE7" w:rsidRDefault="00B11824"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2.</w:t>
            </w:r>
            <w:r w:rsidRPr="009B5EE7">
              <w:rPr>
                <w:rFonts w:eastAsia="標楷體" w:cstheme="minorHAnsi"/>
                <w:lang w:eastAsia="zh-HK"/>
              </w:rPr>
              <w:t>信用</w:t>
            </w:r>
          </w:p>
        </w:tc>
        <w:tc>
          <w:tcPr>
            <w:tcW w:w="3676" w:type="dxa"/>
            <w:gridSpan w:val="2"/>
            <w:vMerge/>
            <w:vAlign w:val="center"/>
          </w:tcPr>
          <w:p w:rsidR="00B11824" w:rsidRPr="009B5EE7" w:rsidRDefault="00B11824" w:rsidP="001E20E5">
            <w:pPr>
              <w:rPr>
                <w:rFonts w:eastAsia="標楷體" w:cstheme="minorHAnsi"/>
                <w:b/>
              </w:rPr>
            </w:pPr>
          </w:p>
        </w:tc>
      </w:tr>
      <w:tr w:rsidR="00B11824" w:rsidRPr="009B5EE7" w:rsidTr="00B11824">
        <w:tc>
          <w:tcPr>
            <w:tcW w:w="2186" w:type="dxa"/>
            <w:vMerge/>
            <w:vAlign w:val="center"/>
          </w:tcPr>
          <w:p w:rsidR="00B11824" w:rsidRPr="009B5EE7" w:rsidRDefault="00B11824" w:rsidP="001E20E5">
            <w:pPr>
              <w:rPr>
                <w:rFonts w:eastAsia="標楷體" w:cstheme="minorHAnsi"/>
                <w:b/>
              </w:rPr>
            </w:pPr>
          </w:p>
        </w:tc>
        <w:tc>
          <w:tcPr>
            <w:tcW w:w="2884" w:type="dxa"/>
          </w:tcPr>
          <w:p w:rsidR="00B11824" w:rsidRPr="009B5EE7" w:rsidRDefault="00B11824"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3.</w:t>
            </w:r>
            <w:r w:rsidRPr="009B5EE7">
              <w:rPr>
                <w:rFonts w:eastAsia="標楷體" w:cstheme="minorHAnsi"/>
                <w:lang w:eastAsia="zh-HK"/>
              </w:rPr>
              <w:t>資金流動性</w:t>
            </w:r>
          </w:p>
        </w:tc>
        <w:tc>
          <w:tcPr>
            <w:tcW w:w="3676" w:type="dxa"/>
            <w:gridSpan w:val="2"/>
            <w:vMerge/>
            <w:vAlign w:val="center"/>
          </w:tcPr>
          <w:p w:rsidR="00B11824" w:rsidRPr="009B5EE7" w:rsidRDefault="00B11824" w:rsidP="001E20E5">
            <w:pPr>
              <w:rPr>
                <w:rFonts w:eastAsia="標楷體" w:cstheme="minorHAnsi"/>
                <w:b/>
              </w:rPr>
            </w:pPr>
          </w:p>
        </w:tc>
      </w:tr>
      <w:tr w:rsidR="00B11824" w:rsidRPr="009B5EE7" w:rsidTr="00B11824">
        <w:tc>
          <w:tcPr>
            <w:tcW w:w="2186" w:type="dxa"/>
            <w:vMerge/>
            <w:vAlign w:val="center"/>
          </w:tcPr>
          <w:p w:rsidR="00B11824" w:rsidRPr="009B5EE7" w:rsidRDefault="00B11824" w:rsidP="001E20E5">
            <w:pPr>
              <w:rPr>
                <w:rFonts w:eastAsia="標楷體" w:cstheme="minorHAnsi"/>
                <w:b/>
              </w:rPr>
            </w:pPr>
          </w:p>
        </w:tc>
        <w:tc>
          <w:tcPr>
            <w:tcW w:w="2884" w:type="dxa"/>
          </w:tcPr>
          <w:p w:rsidR="00B11824" w:rsidRPr="009B5EE7" w:rsidRDefault="00B11824"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4.</w:t>
            </w:r>
            <w:r w:rsidRPr="009B5EE7">
              <w:rPr>
                <w:rFonts w:eastAsia="標楷體" w:cstheme="minorHAnsi"/>
                <w:lang w:eastAsia="zh-HK"/>
              </w:rPr>
              <w:t>稅務</w:t>
            </w:r>
          </w:p>
        </w:tc>
        <w:tc>
          <w:tcPr>
            <w:tcW w:w="3676" w:type="dxa"/>
            <w:gridSpan w:val="2"/>
            <w:vMerge/>
            <w:vAlign w:val="center"/>
          </w:tcPr>
          <w:p w:rsidR="00B11824" w:rsidRPr="009B5EE7" w:rsidRDefault="00B11824" w:rsidP="001E20E5">
            <w:pPr>
              <w:rPr>
                <w:rFonts w:eastAsia="標楷體" w:cstheme="minorHAnsi"/>
                <w:b/>
              </w:rPr>
            </w:pPr>
          </w:p>
        </w:tc>
      </w:tr>
      <w:tr w:rsidR="00B11824" w:rsidRPr="009B5EE7" w:rsidTr="00B11824">
        <w:trPr>
          <w:trHeight w:val="279"/>
        </w:trPr>
        <w:tc>
          <w:tcPr>
            <w:tcW w:w="2186" w:type="dxa"/>
            <w:vMerge w:val="restart"/>
            <w:vAlign w:val="center"/>
          </w:tcPr>
          <w:p w:rsidR="00B11824" w:rsidRPr="009B5EE7" w:rsidRDefault="00B11824" w:rsidP="00B11824">
            <w:pPr>
              <w:pStyle w:val="a8"/>
              <w:ind w:leftChars="0" w:left="0"/>
              <w:rPr>
                <w:rFonts w:eastAsia="標楷體" w:cstheme="minorHAnsi"/>
                <w:b/>
              </w:rPr>
            </w:pPr>
            <w:r w:rsidRPr="009B5EE7">
              <w:rPr>
                <w:rFonts w:eastAsia="標楷體" w:cstheme="minorHAnsi"/>
              </w:rPr>
              <w:t>四、法遵風險</w:t>
            </w:r>
          </w:p>
        </w:tc>
        <w:tc>
          <w:tcPr>
            <w:tcW w:w="2884" w:type="dxa"/>
          </w:tcPr>
          <w:p w:rsidR="00B11824" w:rsidRPr="009B5EE7" w:rsidRDefault="00B11824"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1.</w:t>
            </w:r>
            <w:r w:rsidRPr="009B5EE7">
              <w:rPr>
                <w:rFonts w:eastAsia="標楷體" w:cstheme="minorHAnsi"/>
                <w:lang w:eastAsia="zh-HK"/>
              </w:rPr>
              <w:t>產業及環境法規</w:t>
            </w:r>
          </w:p>
        </w:tc>
        <w:tc>
          <w:tcPr>
            <w:tcW w:w="1489" w:type="dxa"/>
            <w:vMerge w:val="restart"/>
          </w:tcPr>
          <w:p w:rsidR="00B11824" w:rsidRPr="009B5EE7" w:rsidRDefault="00B11824" w:rsidP="00B11824">
            <w:pPr>
              <w:spacing w:line="240" w:lineRule="exact"/>
              <w:ind w:left="-17"/>
              <w:jc w:val="center"/>
              <w:rPr>
                <w:rFonts w:eastAsia="標楷體" w:cstheme="minorHAnsi"/>
                <w:lang w:eastAsia="zh-HK"/>
              </w:rPr>
            </w:pPr>
            <w:r w:rsidRPr="009B5EE7">
              <w:rPr>
                <w:rFonts w:eastAsia="標楷體" w:cstheme="minorHAnsi"/>
                <w:lang w:eastAsia="zh-HK"/>
              </w:rPr>
              <w:t>總經理</w:t>
            </w:r>
          </w:p>
          <w:p w:rsidR="00B11824" w:rsidRPr="009B5EE7" w:rsidRDefault="00B11824" w:rsidP="00B11824">
            <w:pPr>
              <w:spacing w:line="240" w:lineRule="exact"/>
              <w:ind w:left="-17"/>
              <w:jc w:val="center"/>
              <w:rPr>
                <w:rFonts w:eastAsia="標楷體" w:cstheme="minorHAnsi"/>
                <w:b/>
              </w:rPr>
            </w:pPr>
            <w:r w:rsidRPr="009B5EE7">
              <w:rPr>
                <w:rFonts w:eastAsia="標楷體" w:cstheme="minorHAnsi"/>
                <w:lang w:eastAsia="zh-HK"/>
              </w:rPr>
              <w:t>辦公室</w:t>
            </w:r>
          </w:p>
        </w:tc>
        <w:tc>
          <w:tcPr>
            <w:tcW w:w="2187" w:type="dxa"/>
            <w:vAlign w:val="center"/>
          </w:tcPr>
          <w:p w:rsidR="00B11824" w:rsidRPr="009B5EE7" w:rsidRDefault="00B11824" w:rsidP="00B11824">
            <w:pPr>
              <w:spacing w:line="240" w:lineRule="exact"/>
              <w:ind w:left="-17"/>
              <w:rPr>
                <w:rFonts w:eastAsia="標楷體" w:cstheme="minorHAnsi"/>
                <w:b/>
              </w:rPr>
            </w:pPr>
            <w:r w:rsidRPr="009B5EE7">
              <w:rPr>
                <w:rFonts w:eastAsia="標楷體" w:cstheme="minorHAnsi"/>
                <w:lang w:eastAsia="zh-HK"/>
              </w:rPr>
              <w:t>各事業單位</w:t>
            </w:r>
          </w:p>
        </w:tc>
      </w:tr>
      <w:tr w:rsidR="00B11824" w:rsidRPr="009B5EE7" w:rsidTr="00B11824">
        <w:trPr>
          <w:trHeight w:val="223"/>
        </w:trPr>
        <w:tc>
          <w:tcPr>
            <w:tcW w:w="2186" w:type="dxa"/>
            <w:vMerge/>
          </w:tcPr>
          <w:p w:rsidR="00B11824" w:rsidRPr="009B5EE7" w:rsidRDefault="00B11824" w:rsidP="001E20E5">
            <w:pPr>
              <w:rPr>
                <w:rFonts w:eastAsia="標楷體" w:cstheme="minorHAnsi"/>
                <w:b/>
              </w:rPr>
            </w:pPr>
          </w:p>
        </w:tc>
        <w:tc>
          <w:tcPr>
            <w:tcW w:w="2884" w:type="dxa"/>
          </w:tcPr>
          <w:p w:rsidR="00B11824" w:rsidRPr="009B5EE7" w:rsidRDefault="00B11824" w:rsidP="00F34921">
            <w:pPr>
              <w:pStyle w:val="a8"/>
              <w:spacing w:line="240" w:lineRule="exact"/>
              <w:ind w:leftChars="0" w:left="126"/>
              <w:jc w:val="both"/>
              <w:rPr>
                <w:rFonts w:eastAsia="標楷體" w:cstheme="minorHAnsi"/>
                <w:lang w:eastAsia="zh-HK"/>
              </w:rPr>
            </w:pPr>
            <w:r w:rsidRPr="009B5EE7">
              <w:rPr>
                <w:rFonts w:eastAsia="標楷體" w:cstheme="minorHAnsi"/>
                <w:lang w:eastAsia="zh-HK"/>
              </w:rPr>
              <w:t>2.</w:t>
            </w:r>
            <w:r w:rsidRPr="009B5EE7">
              <w:rPr>
                <w:rFonts w:eastAsia="標楷體" w:cstheme="minorHAnsi"/>
                <w:lang w:eastAsia="zh-HK"/>
              </w:rPr>
              <w:t>個資保護</w:t>
            </w:r>
          </w:p>
        </w:tc>
        <w:tc>
          <w:tcPr>
            <w:tcW w:w="1489" w:type="dxa"/>
            <w:vMerge/>
          </w:tcPr>
          <w:p w:rsidR="00B11824" w:rsidRPr="009B5EE7" w:rsidRDefault="00B11824" w:rsidP="00B11824">
            <w:pPr>
              <w:spacing w:line="240" w:lineRule="exact"/>
              <w:ind w:left="-17"/>
              <w:rPr>
                <w:rFonts w:eastAsia="標楷體" w:cstheme="minorHAnsi"/>
                <w:b/>
              </w:rPr>
            </w:pPr>
          </w:p>
        </w:tc>
        <w:tc>
          <w:tcPr>
            <w:tcW w:w="2187" w:type="dxa"/>
            <w:vAlign w:val="center"/>
          </w:tcPr>
          <w:p w:rsidR="00B11824" w:rsidRPr="009B5EE7" w:rsidRDefault="00B11824" w:rsidP="00B11824">
            <w:pPr>
              <w:spacing w:line="240" w:lineRule="exact"/>
              <w:ind w:left="-17"/>
              <w:rPr>
                <w:rFonts w:eastAsia="標楷體" w:cstheme="minorHAnsi"/>
                <w:b/>
              </w:rPr>
            </w:pPr>
            <w:r w:rsidRPr="009B5EE7">
              <w:rPr>
                <w:rFonts w:eastAsia="標楷體" w:cstheme="minorHAnsi"/>
                <w:lang w:eastAsia="zh-HK"/>
              </w:rPr>
              <w:t>人力資源單位</w:t>
            </w:r>
          </w:p>
        </w:tc>
      </w:tr>
    </w:tbl>
    <w:p w:rsidR="00AB0D42" w:rsidRPr="009B5EE7" w:rsidRDefault="00AB0D42" w:rsidP="00AB0D42">
      <w:pPr>
        <w:spacing w:beforeLines="50" w:before="180"/>
        <w:rPr>
          <w:rFonts w:eastAsia="標楷體" w:cstheme="minorHAnsi"/>
          <w:b/>
        </w:rPr>
      </w:pPr>
      <w:r w:rsidRPr="009B5EE7">
        <w:rPr>
          <w:rFonts w:eastAsia="標楷體" w:cstheme="minorHAnsi"/>
          <w:b/>
        </w:rPr>
        <w:t>第</w:t>
      </w:r>
      <w:r w:rsidRPr="009B5EE7">
        <w:rPr>
          <w:rFonts w:eastAsia="標楷體" w:cstheme="minorHAnsi"/>
          <w:b/>
          <w:lang w:eastAsia="zh-HK"/>
        </w:rPr>
        <w:t>九</w:t>
      </w:r>
      <w:r w:rsidRPr="009B5EE7">
        <w:rPr>
          <w:rFonts w:eastAsia="標楷體" w:cstheme="minorHAnsi"/>
          <w:b/>
        </w:rPr>
        <w:t>條</w:t>
      </w:r>
      <w:r w:rsidRPr="009B5EE7">
        <w:rPr>
          <w:rFonts w:eastAsia="標楷體" w:cstheme="minorHAnsi"/>
          <w:b/>
        </w:rPr>
        <w:t xml:space="preserve"> </w:t>
      </w:r>
      <w:r w:rsidRPr="009B5EE7">
        <w:rPr>
          <w:rFonts w:eastAsia="標楷體" w:cstheme="minorHAnsi"/>
          <w:b/>
        </w:rPr>
        <w:t>核准與修訂</w:t>
      </w:r>
    </w:p>
    <w:p w:rsidR="00AB0D42" w:rsidRPr="00DE6CAD" w:rsidRDefault="00AB0D42" w:rsidP="00C93B0F">
      <w:pPr>
        <w:rPr>
          <w:rFonts w:eastAsia="標楷體" w:cstheme="minorHAnsi"/>
        </w:rPr>
      </w:pPr>
      <w:r w:rsidRPr="00DE6CAD">
        <w:rPr>
          <w:rFonts w:eastAsia="標楷體" w:cstheme="minorHAnsi"/>
        </w:rPr>
        <w:t>本辦法經董事會核定後實施，修正時亦同。</w:t>
      </w:r>
    </w:p>
    <w:sectPr w:rsidR="00AB0D42" w:rsidRPr="00DE6CAD" w:rsidSect="00DE6CAD">
      <w:footerReference w:type="default" r:id="rId7"/>
      <w:pgSz w:w="11906" w:h="16838"/>
      <w:pgMar w:top="1418" w:right="1416"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B5" w:rsidRDefault="00AD33B5" w:rsidP="00C93B0F">
      <w:r>
        <w:separator/>
      </w:r>
    </w:p>
  </w:endnote>
  <w:endnote w:type="continuationSeparator" w:id="0">
    <w:p w:rsidR="00AD33B5" w:rsidRDefault="00AD33B5" w:rsidP="00C9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AD" w:rsidRDefault="00DE6CAD" w:rsidP="00DE6CAD">
    <w:pPr>
      <w:pStyle w:val="a5"/>
      <w:jc w:val="center"/>
    </w:pPr>
    <w:r w:rsidRPr="00E82402">
      <w:rPr>
        <w:bCs/>
        <w:sz w:val="24"/>
        <w:szCs w:val="24"/>
      </w:rPr>
      <w:fldChar w:fldCharType="begin"/>
    </w:r>
    <w:r w:rsidRPr="00E82402">
      <w:rPr>
        <w:bCs/>
      </w:rPr>
      <w:instrText>PAGE</w:instrText>
    </w:r>
    <w:r w:rsidRPr="00E82402">
      <w:rPr>
        <w:bCs/>
        <w:sz w:val="24"/>
        <w:szCs w:val="24"/>
      </w:rPr>
      <w:fldChar w:fldCharType="separate"/>
    </w:r>
    <w:r w:rsidR="00D03224">
      <w:rPr>
        <w:bCs/>
        <w:noProof/>
      </w:rPr>
      <w:t>1</w:t>
    </w:r>
    <w:r w:rsidRPr="00E82402">
      <w:rPr>
        <w:bCs/>
        <w:sz w:val="24"/>
        <w:szCs w:val="24"/>
      </w:rPr>
      <w:fldChar w:fldCharType="end"/>
    </w:r>
    <w:r w:rsidRPr="00E82402">
      <w:rPr>
        <w:bCs/>
        <w:sz w:val="24"/>
        <w:szCs w:val="24"/>
      </w:rPr>
      <w:t>/</w:t>
    </w:r>
    <w:r w:rsidRPr="00E82402">
      <w:rPr>
        <w:lang w:val="zh-TW"/>
      </w:rPr>
      <w:t xml:space="preserve"> </w:t>
    </w:r>
    <w:r w:rsidRPr="00E82402">
      <w:rPr>
        <w:bCs/>
        <w:sz w:val="24"/>
        <w:szCs w:val="24"/>
      </w:rPr>
      <w:fldChar w:fldCharType="begin"/>
    </w:r>
    <w:r w:rsidRPr="00E82402">
      <w:rPr>
        <w:bCs/>
      </w:rPr>
      <w:instrText>NUMPAGES</w:instrText>
    </w:r>
    <w:r w:rsidRPr="00E82402">
      <w:rPr>
        <w:bCs/>
        <w:sz w:val="24"/>
        <w:szCs w:val="24"/>
      </w:rPr>
      <w:fldChar w:fldCharType="separate"/>
    </w:r>
    <w:r w:rsidR="00D03224">
      <w:rPr>
        <w:bCs/>
        <w:noProof/>
      </w:rPr>
      <w:t>2</w:t>
    </w:r>
    <w:r w:rsidRPr="00E8240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B5" w:rsidRDefault="00AD33B5" w:rsidP="00C93B0F">
      <w:r>
        <w:separator/>
      </w:r>
    </w:p>
  </w:footnote>
  <w:footnote w:type="continuationSeparator" w:id="0">
    <w:p w:rsidR="00AD33B5" w:rsidRDefault="00AD33B5" w:rsidP="00C9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F1"/>
    <w:multiLevelType w:val="hybridMultilevel"/>
    <w:tmpl w:val="72FA7F48"/>
    <w:lvl w:ilvl="0" w:tplc="7DD82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8573C"/>
    <w:multiLevelType w:val="hybridMultilevel"/>
    <w:tmpl w:val="8D243868"/>
    <w:lvl w:ilvl="0" w:tplc="C480DF48">
      <w:start w:val="1"/>
      <w:numFmt w:val="taiwaneseCountingThousand"/>
      <w:lvlText w:val="%1、"/>
      <w:lvlJc w:val="left"/>
      <w:pPr>
        <w:ind w:left="476"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36C2E"/>
    <w:multiLevelType w:val="hybridMultilevel"/>
    <w:tmpl w:val="CEB0E5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2B43C4"/>
    <w:multiLevelType w:val="hybridMultilevel"/>
    <w:tmpl w:val="E07CA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4C70AE"/>
    <w:multiLevelType w:val="hybridMultilevel"/>
    <w:tmpl w:val="3D868D8C"/>
    <w:lvl w:ilvl="0" w:tplc="0409000F">
      <w:start w:val="1"/>
      <w:numFmt w:val="decimal"/>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 w15:restartNumberingAfterBreak="0">
    <w:nsid w:val="33406107"/>
    <w:multiLevelType w:val="hybridMultilevel"/>
    <w:tmpl w:val="5E460EEC"/>
    <w:lvl w:ilvl="0" w:tplc="85B26DB6">
      <w:start w:val="1"/>
      <w:numFmt w:val="decimal"/>
      <w:lvlText w:val="%1."/>
      <w:lvlJc w:val="left"/>
      <w:pPr>
        <w:ind w:left="878" w:hanging="360"/>
      </w:pPr>
      <w:rPr>
        <w:rFonts w:hint="default"/>
      </w:rPr>
    </w:lvl>
    <w:lvl w:ilvl="1" w:tplc="BD68D284">
      <w:start w:val="4"/>
      <w:numFmt w:val="taiwaneseCountingThousand"/>
      <w:lvlText w:val="%2、"/>
      <w:lvlJc w:val="left"/>
      <w:pPr>
        <w:ind w:left="1478" w:hanging="480"/>
      </w:pPr>
      <w:rPr>
        <w:rFonts w:hint="default"/>
      </w:r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6" w15:restartNumberingAfterBreak="0">
    <w:nsid w:val="33D40938"/>
    <w:multiLevelType w:val="hybridMultilevel"/>
    <w:tmpl w:val="AA04EA1C"/>
    <w:lvl w:ilvl="0" w:tplc="8ECA496A">
      <w:start w:val="1"/>
      <w:numFmt w:val="taiwaneseCountingThousand"/>
      <w:lvlText w:val="%1、"/>
      <w:lvlJc w:val="left"/>
      <w:pPr>
        <w:ind w:left="476" w:hanging="476"/>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F433D0"/>
    <w:multiLevelType w:val="hybridMultilevel"/>
    <w:tmpl w:val="F174ACFA"/>
    <w:lvl w:ilvl="0" w:tplc="762AB19E">
      <w:start w:val="1"/>
      <w:numFmt w:val="decimal"/>
      <w:lvlText w:val="%1."/>
      <w:lvlJc w:val="left"/>
      <w:pPr>
        <w:ind w:left="9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D0AD2"/>
    <w:multiLevelType w:val="hybridMultilevel"/>
    <w:tmpl w:val="3D868D8C"/>
    <w:lvl w:ilvl="0" w:tplc="0409000F">
      <w:start w:val="1"/>
      <w:numFmt w:val="decimal"/>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9" w15:restartNumberingAfterBreak="0">
    <w:nsid w:val="3A0105B6"/>
    <w:multiLevelType w:val="hybridMultilevel"/>
    <w:tmpl w:val="72A0DD66"/>
    <w:lvl w:ilvl="0" w:tplc="0409000F">
      <w:start w:val="1"/>
      <w:numFmt w:val="decimal"/>
      <w:lvlText w:val="%1."/>
      <w:lvlJc w:val="left"/>
      <w:pPr>
        <w:ind w:left="606" w:hanging="480"/>
      </w:p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0" w15:restartNumberingAfterBreak="0">
    <w:nsid w:val="43333F12"/>
    <w:multiLevelType w:val="hybridMultilevel"/>
    <w:tmpl w:val="AE64A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954FB8"/>
    <w:multiLevelType w:val="hybridMultilevel"/>
    <w:tmpl w:val="205CC3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8D72884"/>
    <w:multiLevelType w:val="hybridMultilevel"/>
    <w:tmpl w:val="8AE28F40"/>
    <w:lvl w:ilvl="0" w:tplc="0409000F">
      <w:start w:val="1"/>
      <w:numFmt w:val="decimal"/>
      <w:lvlText w:val="%1."/>
      <w:lvlJc w:val="left"/>
      <w:pPr>
        <w:ind w:left="480" w:hanging="480"/>
      </w:pPr>
    </w:lvl>
    <w:lvl w:ilvl="1" w:tplc="3DB0FCF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E6686E"/>
    <w:multiLevelType w:val="hybridMultilevel"/>
    <w:tmpl w:val="40824C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0F02F0"/>
    <w:multiLevelType w:val="hybridMultilevel"/>
    <w:tmpl w:val="8AE28F40"/>
    <w:lvl w:ilvl="0" w:tplc="0409000F">
      <w:start w:val="1"/>
      <w:numFmt w:val="decimal"/>
      <w:lvlText w:val="%1."/>
      <w:lvlJc w:val="left"/>
      <w:pPr>
        <w:ind w:left="480" w:hanging="480"/>
      </w:pPr>
    </w:lvl>
    <w:lvl w:ilvl="1" w:tplc="3DB0FCF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1C30D4"/>
    <w:multiLevelType w:val="hybridMultilevel"/>
    <w:tmpl w:val="E07CA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844658"/>
    <w:multiLevelType w:val="hybridMultilevel"/>
    <w:tmpl w:val="E2902ACA"/>
    <w:lvl w:ilvl="0" w:tplc="0409000F">
      <w:start w:val="1"/>
      <w:numFmt w:val="decimal"/>
      <w:lvlText w:val="%1."/>
      <w:lvlJc w:val="left"/>
      <w:pPr>
        <w:ind w:left="606" w:hanging="480"/>
      </w:p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7" w15:restartNumberingAfterBreak="0">
    <w:nsid w:val="76E02EB1"/>
    <w:multiLevelType w:val="hybridMultilevel"/>
    <w:tmpl w:val="FD845F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6"/>
  </w:num>
  <w:num w:numId="3">
    <w:abstractNumId w:val="1"/>
  </w:num>
  <w:num w:numId="4">
    <w:abstractNumId w:val="2"/>
  </w:num>
  <w:num w:numId="5">
    <w:abstractNumId w:val="17"/>
  </w:num>
  <w:num w:numId="6">
    <w:abstractNumId w:val="13"/>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5"/>
  </w:num>
  <w:num w:numId="12">
    <w:abstractNumId w:val="4"/>
  </w:num>
  <w:num w:numId="13">
    <w:abstractNumId w:val="14"/>
  </w:num>
  <w:num w:numId="14">
    <w:abstractNumId w:val="3"/>
  </w:num>
  <w:num w:numId="15">
    <w:abstractNumId w:val="16"/>
  </w:num>
  <w:num w:numId="16">
    <w:abstractNumId w:val="8"/>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C"/>
    <w:rsid w:val="00015584"/>
    <w:rsid w:val="000310D0"/>
    <w:rsid w:val="00041545"/>
    <w:rsid w:val="0008765C"/>
    <w:rsid w:val="000C760E"/>
    <w:rsid w:val="00117208"/>
    <w:rsid w:val="00156052"/>
    <w:rsid w:val="001909B1"/>
    <w:rsid w:val="00195E33"/>
    <w:rsid w:val="001B1C38"/>
    <w:rsid w:val="001E20E5"/>
    <w:rsid w:val="001E5D95"/>
    <w:rsid w:val="00271086"/>
    <w:rsid w:val="00397791"/>
    <w:rsid w:val="003D23C1"/>
    <w:rsid w:val="00416470"/>
    <w:rsid w:val="00427309"/>
    <w:rsid w:val="004468B7"/>
    <w:rsid w:val="00465898"/>
    <w:rsid w:val="004A756D"/>
    <w:rsid w:val="00566098"/>
    <w:rsid w:val="00582F0C"/>
    <w:rsid w:val="00594FE2"/>
    <w:rsid w:val="00633621"/>
    <w:rsid w:val="00685BDC"/>
    <w:rsid w:val="006F7536"/>
    <w:rsid w:val="007055B3"/>
    <w:rsid w:val="007216B4"/>
    <w:rsid w:val="007370D6"/>
    <w:rsid w:val="007715BC"/>
    <w:rsid w:val="00777BF9"/>
    <w:rsid w:val="007C1D2C"/>
    <w:rsid w:val="008E2550"/>
    <w:rsid w:val="008E68AE"/>
    <w:rsid w:val="00920E42"/>
    <w:rsid w:val="00941EB6"/>
    <w:rsid w:val="00953CC8"/>
    <w:rsid w:val="00961B6A"/>
    <w:rsid w:val="009B5EE7"/>
    <w:rsid w:val="009C7EDE"/>
    <w:rsid w:val="009D3F3D"/>
    <w:rsid w:val="00A64F36"/>
    <w:rsid w:val="00A9532F"/>
    <w:rsid w:val="00AB0D42"/>
    <w:rsid w:val="00AD33B5"/>
    <w:rsid w:val="00B11824"/>
    <w:rsid w:val="00B234F7"/>
    <w:rsid w:val="00B85780"/>
    <w:rsid w:val="00B9151A"/>
    <w:rsid w:val="00BA67CD"/>
    <w:rsid w:val="00BF74AE"/>
    <w:rsid w:val="00C00207"/>
    <w:rsid w:val="00C070DE"/>
    <w:rsid w:val="00C93B0F"/>
    <w:rsid w:val="00CC4176"/>
    <w:rsid w:val="00CD2BD0"/>
    <w:rsid w:val="00CE6C1B"/>
    <w:rsid w:val="00D03224"/>
    <w:rsid w:val="00DD18C8"/>
    <w:rsid w:val="00DE6CAD"/>
    <w:rsid w:val="00E84B2B"/>
    <w:rsid w:val="00EE6E8F"/>
    <w:rsid w:val="00F34921"/>
    <w:rsid w:val="00FC0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582B4-6359-4849-85AE-D5F65234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8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91財報頁首"/>
    <w:basedOn w:val="a"/>
    <w:link w:val="a4"/>
    <w:uiPriority w:val="99"/>
    <w:unhideWhenUsed/>
    <w:rsid w:val="00C93B0F"/>
    <w:pPr>
      <w:tabs>
        <w:tab w:val="center" w:pos="4153"/>
        <w:tab w:val="right" w:pos="8306"/>
      </w:tabs>
      <w:snapToGrid w:val="0"/>
    </w:pPr>
    <w:rPr>
      <w:sz w:val="20"/>
      <w:szCs w:val="20"/>
    </w:rPr>
  </w:style>
  <w:style w:type="character" w:customStyle="1" w:styleId="a4">
    <w:name w:val="頁首 字元"/>
    <w:aliases w:val="91財報頁首 字元"/>
    <w:basedOn w:val="a0"/>
    <w:link w:val="a3"/>
    <w:uiPriority w:val="99"/>
    <w:rsid w:val="00C93B0F"/>
    <w:rPr>
      <w:sz w:val="20"/>
      <w:szCs w:val="20"/>
    </w:rPr>
  </w:style>
  <w:style w:type="paragraph" w:styleId="a5">
    <w:name w:val="footer"/>
    <w:basedOn w:val="a"/>
    <w:link w:val="a6"/>
    <w:unhideWhenUsed/>
    <w:rsid w:val="00C93B0F"/>
    <w:pPr>
      <w:tabs>
        <w:tab w:val="center" w:pos="4153"/>
        <w:tab w:val="right" w:pos="8306"/>
      </w:tabs>
      <w:snapToGrid w:val="0"/>
    </w:pPr>
    <w:rPr>
      <w:sz w:val="20"/>
      <w:szCs w:val="20"/>
    </w:rPr>
  </w:style>
  <w:style w:type="character" w:customStyle="1" w:styleId="a6">
    <w:name w:val="頁尾 字元"/>
    <w:basedOn w:val="a0"/>
    <w:link w:val="a5"/>
    <w:rsid w:val="00C93B0F"/>
    <w:rPr>
      <w:sz w:val="20"/>
      <w:szCs w:val="20"/>
    </w:rPr>
  </w:style>
  <w:style w:type="table" w:styleId="a7">
    <w:name w:val="Table Grid"/>
    <w:basedOn w:val="a1"/>
    <w:uiPriority w:val="39"/>
    <w:rsid w:val="0004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10D0"/>
    <w:pPr>
      <w:ind w:leftChars="200" w:left="480"/>
    </w:pPr>
  </w:style>
  <w:style w:type="paragraph" w:styleId="a9">
    <w:name w:val="Balloon Text"/>
    <w:basedOn w:val="a"/>
    <w:link w:val="aa"/>
    <w:uiPriority w:val="99"/>
    <w:semiHidden/>
    <w:unhideWhenUsed/>
    <w:rsid w:val="00C0020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0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1478</Characters>
  <Application>Microsoft Office Word</Application>
  <DocSecurity>0</DocSecurity>
  <Lines>12</Lines>
  <Paragraphs>3</Paragraphs>
  <ScaleCrop>false</ScaleCrop>
  <Company>偉聯科技股份有限公司</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An-Mei Chen</dc:creator>
  <cp:lastModifiedBy>An-Mei Chen</cp:lastModifiedBy>
  <cp:revision>4</cp:revision>
  <cp:lastPrinted>2020-10-29T01:51:00Z</cp:lastPrinted>
  <dcterms:created xsi:type="dcterms:W3CDTF">2020-10-29T07:04:00Z</dcterms:created>
  <dcterms:modified xsi:type="dcterms:W3CDTF">2021-01-21T05:55:00Z</dcterms:modified>
</cp:coreProperties>
</file>